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0F14" w14:textId="679FE5AF" w:rsidR="00BB70BF" w:rsidRPr="002505FA" w:rsidRDefault="0075209D" w:rsidP="00562A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5FA">
        <w:rPr>
          <w:rFonts w:ascii="Times New Roman" w:hAnsi="Times New Roman" w:cs="Times New Roman"/>
          <w:b/>
          <w:sz w:val="26"/>
          <w:szCs w:val="26"/>
        </w:rPr>
        <w:t>O</w:t>
      </w:r>
      <w:r w:rsidR="00EF05CF" w:rsidRPr="002505FA">
        <w:rPr>
          <w:rFonts w:ascii="Times New Roman" w:hAnsi="Times New Roman" w:cs="Times New Roman"/>
          <w:b/>
          <w:sz w:val="26"/>
          <w:szCs w:val="26"/>
        </w:rPr>
        <w:t>brazložen</w:t>
      </w:r>
      <w:r w:rsidRPr="002505FA">
        <w:rPr>
          <w:rFonts w:ascii="Times New Roman" w:hAnsi="Times New Roman" w:cs="Times New Roman"/>
          <w:b/>
          <w:sz w:val="26"/>
          <w:szCs w:val="26"/>
        </w:rPr>
        <w:t xml:space="preserve">je Posebnog dijela </w:t>
      </w:r>
      <w:r w:rsidR="00EF05CF" w:rsidRPr="002505FA">
        <w:rPr>
          <w:rFonts w:ascii="Times New Roman" w:hAnsi="Times New Roman" w:cs="Times New Roman"/>
          <w:b/>
          <w:sz w:val="26"/>
          <w:szCs w:val="26"/>
        </w:rPr>
        <w:t>financijskog plana</w:t>
      </w:r>
      <w:r w:rsidRPr="002505FA">
        <w:rPr>
          <w:rFonts w:ascii="Times New Roman" w:hAnsi="Times New Roman" w:cs="Times New Roman"/>
          <w:b/>
          <w:sz w:val="26"/>
          <w:szCs w:val="26"/>
        </w:rPr>
        <w:t xml:space="preserve"> Državnog zavoda</w:t>
      </w:r>
      <w:r w:rsidR="00BB70BF" w:rsidRPr="002505FA">
        <w:rPr>
          <w:rFonts w:ascii="Times New Roman" w:hAnsi="Times New Roman" w:cs="Times New Roman"/>
          <w:b/>
          <w:sz w:val="26"/>
          <w:szCs w:val="26"/>
        </w:rPr>
        <w:t xml:space="preserve"> za intelektualno vlasništvo</w:t>
      </w:r>
      <w:r w:rsidRPr="002505FA">
        <w:rPr>
          <w:rFonts w:ascii="Times New Roman" w:hAnsi="Times New Roman" w:cs="Times New Roman"/>
          <w:b/>
          <w:sz w:val="26"/>
          <w:szCs w:val="26"/>
        </w:rPr>
        <w:t xml:space="preserve"> (202</w:t>
      </w:r>
      <w:r w:rsidR="00602F59" w:rsidRPr="002505FA">
        <w:rPr>
          <w:rFonts w:ascii="Times New Roman" w:hAnsi="Times New Roman" w:cs="Times New Roman"/>
          <w:b/>
          <w:sz w:val="26"/>
          <w:szCs w:val="26"/>
        </w:rPr>
        <w:t>4</w:t>
      </w:r>
      <w:r w:rsidRPr="002505FA">
        <w:rPr>
          <w:rFonts w:ascii="Times New Roman" w:hAnsi="Times New Roman" w:cs="Times New Roman"/>
          <w:b/>
          <w:sz w:val="26"/>
          <w:szCs w:val="26"/>
        </w:rPr>
        <w:t>-202</w:t>
      </w:r>
      <w:r w:rsidR="00602F59" w:rsidRPr="002505FA">
        <w:rPr>
          <w:rFonts w:ascii="Times New Roman" w:hAnsi="Times New Roman" w:cs="Times New Roman"/>
          <w:b/>
          <w:sz w:val="26"/>
          <w:szCs w:val="26"/>
        </w:rPr>
        <w:t>6</w:t>
      </w:r>
      <w:r w:rsidRPr="002505FA">
        <w:rPr>
          <w:rFonts w:ascii="Times New Roman" w:hAnsi="Times New Roman" w:cs="Times New Roman"/>
          <w:b/>
          <w:sz w:val="26"/>
          <w:szCs w:val="26"/>
        </w:rPr>
        <w:t>)</w:t>
      </w:r>
    </w:p>
    <w:p w14:paraId="5FFBE531" w14:textId="77777777" w:rsidR="00EF05CF" w:rsidRPr="002505FA" w:rsidRDefault="00EF05CF">
      <w:pPr>
        <w:rPr>
          <w:rFonts w:ascii="Times New Roman" w:hAnsi="Times New Roman" w:cs="Times New Roman"/>
        </w:rPr>
      </w:pPr>
    </w:p>
    <w:p w14:paraId="5D946543" w14:textId="77777777" w:rsidR="00EF05CF" w:rsidRPr="002505FA" w:rsidRDefault="008043DB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 w:rsidRPr="002505FA">
        <w:rPr>
          <w:rFonts w:ascii="Times New Roman" w:hAnsi="Times New Roman" w:cs="Times New Roman"/>
          <w:b/>
          <w:sz w:val="28"/>
        </w:rPr>
        <w:t xml:space="preserve">08012 </w:t>
      </w:r>
      <w:r w:rsidRPr="002505FA">
        <w:rPr>
          <w:rFonts w:ascii="Times New Roman" w:hAnsi="Times New Roman" w:cs="Times New Roman"/>
          <w:b/>
          <w:sz w:val="28"/>
        </w:rPr>
        <w:tab/>
      </w:r>
      <w:r w:rsidR="00EF05CF" w:rsidRPr="002505FA">
        <w:rPr>
          <w:rFonts w:ascii="Times New Roman" w:hAnsi="Times New Roman" w:cs="Times New Roman"/>
          <w:b/>
          <w:sz w:val="28"/>
        </w:rPr>
        <w:t xml:space="preserve">Sažetak djelokruga </w:t>
      </w:r>
      <w:r w:rsidR="00F51C89" w:rsidRPr="002505FA">
        <w:rPr>
          <w:rFonts w:ascii="Times New Roman" w:hAnsi="Times New Roman" w:cs="Times New Roman"/>
          <w:b/>
          <w:sz w:val="28"/>
        </w:rPr>
        <w:t xml:space="preserve">Državnog zavoda za intelektualno vlasništvo </w:t>
      </w:r>
    </w:p>
    <w:p w14:paraId="19A3E5A1" w14:textId="77777777" w:rsidR="00EB6311" w:rsidRPr="002505FA" w:rsidRDefault="00BB70BF" w:rsidP="007F610C">
      <w:p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Državni zavod za intelektualno vlasništvo (DZIV-a) obavlja sljedeće poslove i zadatke iz svoje nadležnosti:</w:t>
      </w:r>
    </w:p>
    <w:p w14:paraId="2F94AD9A" w14:textId="77777777" w:rsidR="00EB6311" w:rsidRPr="002505FA" w:rsidRDefault="00EB6311" w:rsidP="00EB631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razvoj zakonodavnog okvira za zaštitu industrijskog vlasništva usklađen s pravnim okvirom Europske unije i međunarodnim pravnim okvirom te nacionalnim strateškim okvirom;</w:t>
      </w:r>
    </w:p>
    <w:p w14:paraId="75D4AA9C" w14:textId="77777777" w:rsidR="00EB6311" w:rsidRPr="002505FA" w:rsidRDefault="00EB6311" w:rsidP="00EB631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osiguravanje kvalitetne i učinkovite provedbe postupaka za priznanje prava industrijskog vlasništva na teritoriju Republike Hrvatske (RH), koje DZIV provodi samostalno ili putem odgovarajućih međunarodnih i europskih sustava u kojima RH sudjeluje; </w:t>
      </w:r>
    </w:p>
    <w:p w14:paraId="7AA20F51" w14:textId="77777777" w:rsidR="00EB6311" w:rsidRPr="002505FA" w:rsidRDefault="00EB6311" w:rsidP="00EB631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osiguravanje, učinkovitog i poticajnog sustava zaštite autorskih i srodnih prava, usklađenog s tehnološkim razvojem, kroz razvoj odgovarajućeg zakonodavnog okvira, nadzor nad sustavom kolektivnog ostvarivanja prava te provedbu i razvoj prateće stručne djelatnosti;</w:t>
      </w:r>
    </w:p>
    <w:p w14:paraId="36327EF4" w14:textId="1AD2A5B6" w:rsidR="00EB6311" w:rsidRPr="002505FA" w:rsidRDefault="00EB6311" w:rsidP="00EB631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zastupanje interesa RH u razvoju zajedničkog zakonodavnog i institucionalnog okvira Europske unije u području intelektualnog vlasništva; </w:t>
      </w:r>
    </w:p>
    <w:p w14:paraId="4A3D191A" w14:textId="77777777" w:rsidR="00EB6311" w:rsidRPr="002505FA" w:rsidRDefault="00EB6311" w:rsidP="00EB631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zastupanje interesa i jačanje utjecaja RH u međunarodnim (europskim i svjetskim) organizacijama i tijelima Europske unije iz područja intelektualnog vlasništva te daljnji razvoj članstva u međunarodnim konvencijama i ugovorima u skladu s ciljevima razvoja nacionalnog sustava intelektualnog vlasništva; </w:t>
      </w:r>
    </w:p>
    <w:p w14:paraId="24F8D8B5" w14:textId="77777777" w:rsidR="00EB6311" w:rsidRPr="002505FA" w:rsidRDefault="00EB6311" w:rsidP="00EB631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osiguravanje provedbe obveza iz međunarodnih konvencija i ugovora iz područja intelektualnog vlasništva kojih je RH članica i koje su u nadležnosti DZIV-a; </w:t>
      </w:r>
    </w:p>
    <w:p w14:paraId="799E5E8F" w14:textId="77777777" w:rsidR="00EB6311" w:rsidRPr="002505FA" w:rsidRDefault="00EB6311" w:rsidP="00EB631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doprinos razvoju učinkovitog nacionalnog sustava provedbe prava intelektualnog vlasništva, uključujući suzbijanje prometa krivotvorenim proizvodima i piratstva, u suradnji i uz koordinaciju s tijelima za provedbu prava te drugim dionicima sustava iz javnog i privatnog sektora; </w:t>
      </w:r>
    </w:p>
    <w:p w14:paraId="4B9E86BD" w14:textId="77777777" w:rsidR="00EB6311" w:rsidRPr="002505FA" w:rsidRDefault="00EB6311" w:rsidP="00EB631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doprinos razvoju primjene prava intelektualnog vlasništva u relevantnim gospodarskim i društvenim sektorima radi jačanja inovacijskih i kreativnih djelatnosti te jačanja konkurentnosti relevantnih sektora; </w:t>
      </w:r>
    </w:p>
    <w:p w14:paraId="1BA3E4FE" w14:textId="77777777" w:rsidR="00EB6311" w:rsidRPr="002505FA" w:rsidRDefault="00EB6311" w:rsidP="00EB631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održavanje i razvoj nacionalnih digitalnih registara industrijskog vlasništva te razvoj i održavanje pratećih nacionalnih i međunarodnih digitalnih servisa i e-usluga; </w:t>
      </w:r>
    </w:p>
    <w:p w14:paraId="7994A010" w14:textId="77777777" w:rsidR="00EB6311" w:rsidRPr="002505FA" w:rsidRDefault="00EB6311" w:rsidP="00EB631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razvoj javnih informacijskih i stručnih usluga te potpore korisnicima sustava zaštite i primjene intelektualnog vlasništva u suradnji s drugim dionicima nacionalnog inovacijskog sustava i sektora kreativnih i kulturnih industrija.</w:t>
      </w:r>
    </w:p>
    <w:p w14:paraId="155D2270" w14:textId="65C5E09F" w:rsidR="001F63EF" w:rsidRPr="002505FA" w:rsidRDefault="00BB70BF" w:rsidP="00562A9D">
      <w:p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Navedena djelatnost DZIV-a temelji se na obavljanju specijalističkih poslova za koje su nužni visokoobrazovani kadrovi sa specijalističkim znanjima iz različitih područja intelektualnog vlasništva te iz pojedinih područja tehnike i tehnologije, kao i  na potpornim složenim poslovnim informatičkim i komunikacijskim sustavima, s obzirom na međupovezanost nacionalnog sustava intelektualnog vlasništva s europskim i međunarodnim sustavom te rastući stupanj digitalizacije poslovanja gospodarstva, javne uprave te europskih i međunarodnih </w:t>
      </w:r>
      <w:r w:rsidRPr="002505FA">
        <w:rPr>
          <w:rFonts w:ascii="Times New Roman" w:hAnsi="Times New Roman" w:cs="Times New Roman"/>
          <w:sz w:val="24"/>
          <w:szCs w:val="24"/>
        </w:rPr>
        <w:lastRenderedPageBreak/>
        <w:t>organizacija iz područja intelektualnog vlasništva. Iz tih razloga najveći dio planiranih ukupnih rashoda, osobito rashoda financiranih s izvora 11, odnosi se na rashode za zaposlene (skupina 31), dok najznačajnije materijalne rashode čine rashodi za održavanje i razvoj digitalnog poslovanja DZIV-a, koji se financiraju kako s izvora 11 tako i s izvora 43-</w:t>
      </w:r>
      <w:r w:rsidR="009119C3" w:rsidRPr="002505FA">
        <w:rPr>
          <w:rFonts w:ascii="Times New Roman" w:hAnsi="Times New Roman" w:cs="Times New Roman"/>
          <w:sz w:val="24"/>
          <w:szCs w:val="24"/>
        </w:rPr>
        <w:t>T</w:t>
      </w:r>
      <w:r w:rsidR="00EE33DC" w:rsidRPr="002505FA">
        <w:rPr>
          <w:rFonts w:ascii="Times New Roman" w:hAnsi="Times New Roman" w:cs="Times New Roman"/>
          <w:sz w:val="24"/>
          <w:szCs w:val="24"/>
        </w:rPr>
        <w:t>.</w:t>
      </w:r>
    </w:p>
    <w:p w14:paraId="3CDADA3C" w14:textId="34C718CB" w:rsidR="00BB70BF" w:rsidRPr="002505FA" w:rsidRDefault="00BB70BF" w:rsidP="00562A9D">
      <w:p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Slijedom navedenog, od ukupnih planiranih rashoda financiranih </w:t>
      </w:r>
      <w:r w:rsidR="000060DD" w:rsidRPr="002505FA">
        <w:rPr>
          <w:rFonts w:ascii="Times New Roman" w:hAnsi="Times New Roman" w:cs="Times New Roman"/>
          <w:sz w:val="24"/>
          <w:szCs w:val="24"/>
        </w:rPr>
        <w:t>s</w:t>
      </w:r>
      <w:r w:rsidRPr="002505FA">
        <w:rPr>
          <w:rFonts w:ascii="Times New Roman" w:hAnsi="Times New Roman" w:cs="Times New Roman"/>
          <w:sz w:val="24"/>
          <w:szCs w:val="24"/>
        </w:rPr>
        <w:t xml:space="preserve"> izvora 11 za 202</w:t>
      </w:r>
      <w:r w:rsidR="0025361E" w:rsidRPr="002505FA">
        <w:rPr>
          <w:rFonts w:ascii="Times New Roman" w:hAnsi="Times New Roman" w:cs="Times New Roman"/>
          <w:sz w:val="24"/>
          <w:szCs w:val="24"/>
        </w:rPr>
        <w:t>4</w:t>
      </w:r>
      <w:r w:rsidRPr="002505FA">
        <w:rPr>
          <w:rFonts w:ascii="Times New Roman" w:hAnsi="Times New Roman" w:cs="Times New Roman"/>
          <w:sz w:val="24"/>
          <w:szCs w:val="24"/>
        </w:rPr>
        <w:t xml:space="preserve">. godinu, </w:t>
      </w:r>
      <w:r w:rsidR="0025361E" w:rsidRPr="002505FA">
        <w:rPr>
          <w:rFonts w:ascii="Times New Roman" w:hAnsi="Times New Roman" w:cs="Times New Roman"/>
          <w:sz w:val="24"/>
          <w:szCs w:val="24"/>
        </w:rPr>
        <w:t>9</w:t>
      </w:r>
      <w:r w:rsidR="00E214E5">
        <w:rPr>
          <w:rFonts w:ascii="Times New Roman" w:hAnsi="Times New Roman" w:cs="Times New Roman"/>
          <w:sz w:val="24"/>
          <w:szCs w:val="24"/>
        </w:rPr>
        <w:t>2,8</w:t>
      </w:r>
      <w:r w:rsidRPr="002505FA">
        <w:rPr>
          <w:rFonts w:ascii="Times New Roman" w:hAnsi="Times New Roman" w:cs="Times New Roman"/>
          <w:sz w:val="24"/>
          <w:szCs w:val="24"/>
        </w:rPr>
        <w:t xml:space="preserve">% odnosi se na rashode za zaposlene (skupina 31), </w:t>
      </w:r>
      <w:r w:rsidR="00E214E5">
        <w:rPr>
          <w:rFonts w:ascii="Times New Roman" w:hAnsi="Times New Roman" w:cs="Times New Roman"/>
          <w:sz w:val="24"/>
          <w:szCs w:val="24"/>
        </w:rPr>
        <w:t>7</w:t>
      </w:r>
      <w:r w:rsidRPr="002505FA">
        <w:rPr>
          <w:rFonts w:ascii="Times New Roman" w:hAnsi="Times New Roman" w:cs="Times New Roman"/>
          <w:sz w:val="24"/>
          <w:szCs w:val="24"/>
        </w:rPr>
        <w:t xml:space="preserve">% na materijalne rashode (skupina 32) </w:t>
      </w:r>
      <w:r w:rsidR="006C74DD" w:rsidRPr="002505FA">
        <w:rPr>
          <w:rFonts w:ascii="Times New Roman" w:hAnsi="Times New Roman" w:cs="Times New Roman"/>
          <w:sz w:val="24"/>
          <w:szCs w:val="24"/>
        </w:rPr>
        <w:t xml:space="preserve">te </w:t>
      </w:r>
      <w:r w:rsidRPr="002505FA">
        <w:rPr>
          <w:rFonts w:ascii="Times New Roman" w:hAnsi="Times New Roman" w:cs="Times New Roman"/>
          <w:sz w:val="24"/>
          <w:szCs w:val="24"/>
        </w:rPr>
        <w:t>0,</w:t>
      </w:r>
      <w:r w:rsidRPr="002505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05FA">
        <w:rPr>
          <w:rFonts w:ascii="Times New Roman" w:hAnsi="Times New Roman" w:cs="Times New Roman"/>
          <w:sz w:val="24"/>
          <w:szCs w:val="24"/>
        </w:rPr>
        <w:t>% na financijske rashode</w:t>
      </w:r>
      <w:r w:rsidR="00EB6311" w:rsidRPr="002505FA">
        <w:rPr>
          <w:rFonts w:ascii="Times New Roman" w:hAnsi="Times New Roman" w:cs="Times New Roman"/>
          <w:sz w:val="24"/>
          <w:szCs w:val="24"/>
        </w:rPr>
        <w:t xml:space="preserve"> i </w:t>
      </w:r>
      <w:r w:rsidRPr="002505FA">
        <w:rPr>
          <w:rFonts w:ascii="Times New Roman" w:hAnsi="Times New Roman" w:cs="Times New Roman"/>
          <w:sz w:val="24"/>
          <w:szCs w:val="24"/>
        </w:rPr>
        <w:t>na rashode za nabavu nefinancijske imovine (skupin</w:t>
      </w:r>
      <w:r w:rsidR="00EA20A0" w:rsidRPr="002505FA">
        <w:rPr>
          <w:rFonts w:ascii="Times New Roman" w:hAnsi="Times New Roman" w:cs="Times New Roman"/>
          <w:sz w:val="24"/>
          <w:szCs w:val="24"/>
        </w:rPr>
        <w:t>a</w:t>
      </w:r>
      <w:r w:rsidRPr="002505FA">
        <w:rPr>
          <w:rFonts w:ascii="Times New Roman" w:hAnsi="Times New Roman" w:cs="Times New Roman"/>
          <w:sz w:val="24"/>
          <w:szCs w:val="24"/>
        </w:rPr>
        <w:t xml:space="preserve"> 34 i 42). </w:t>
      </w:r>
    </w:p>
    <w:p w14:paraId="5705E9BC" w14:textId="24A0F5AE" w:rsidR="00C41A8B" w:rsidRPr="002505FA" w:rsidRDefault="0025361E" w:rsidP="00FF2625">
      <w:p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Primjetan je izuzetno visok udio rashoda za zaposlene u izvoru financiranja (za prethodnu 2023.</w:t>
      </w:r>
      <w:r w:rsidR="00A06E69">
        <w:rPr>
          <w:rFonts w:ascii="Times New Roman" w:hAnsi="Times New Roman" w:cs="Times New Roman"/>
          <w:sz w:val="24"/>
          <w:szCs w:val="24"/>
        </w:rPr>
        <w:t xml:space="preserve"> </w:t>
      </w:r>
      <w:r w:rsidRPr="002505FA">
        <w:rPr>
          <w:rFonts w:ascii="Times New Roman" w:hAnsi="Times New Roman" w:cs="Times New Roman"/>
          <w:sz w:val="24"/>
          <w:szCs w:val="24"/>
        </w:rPr>
        <w:t xml:space="preserve">godinu taj je udio </w:t>
      </w:r>
      <w:r w:rsidR="00A06E69">
        <w:rPr>
          <w:rFonts w:ascii="Times New Roman" w:hAnsi="Times New Roman" w:cs="Times New Roman"/>
          <w:sz w:val="24"/>
          <w:szCs w:val="24"/>
        </w:rPr>
        <w:t xml:space="preserve">planiran </w:t>
      </w:r>
      <w:r w:rsidRPr="002505FA">
        <w:rPr>
          <w:rFonts w:ascii="Times New Roman" w:hAnsi="Times New Roman" w:cs="Times New Roman"/>
          <w:sz w:val="24"/>
          <w:szCs w:val="24"/>
        </w:rPr>
        <w:t xml:space="preserve">87%). </w:t>
      </w:r>
      <w:r w:rsidR="00A06E69">
        <w:rPr>
          <w:rFonts w:ascii="Times New Roman" w:hAnsi="Times New Roman" w:cs="Times New Roman"/>
          <w:sz w:val="24"/>
          <w:szCs w:val="24"/>
        </w:rPr>
        <w:t>Takav udio proizlazi iz</w:t>
      </w:r>
      <w:r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BD277F" w:rsidRPr="002505FA">
        <w:rPr>
          <w:rFonts w:ascii="Times New Roman" w:hAnsi="Times New Roman" w:cs="Times New Roman"/>
          <w:sz w:val="24"/>
          <w:szCs w:val="24"/>
        </w:rPr>
        <w:t xml:space="preserve">ograničenih </w:t>
      </w:r>
      <w:r w:rsidR="00A06E69">
        <w:rPr>
          <w:rFonts w:ascii="Times New Roman" w:hAnsi="Times New Roman" w:cs="Times New Roman"/>
          <w:sz w:val="24"/>
          <w:szCs w:val="24"/>
        </w:rPr>
        <w:t xml:space="preserve">raspoloživih </w:t>
      </w:r>
      <w:r w:rsidR="00BD277F" w:rsidRPr="002505FA">
        <w:rPr>
          <w:rFonts w:ascii="Times New Roman" w:hAnsi="Times New Roman" w:cs="Times New Roman"/>
          <w:sz w:val="24"/>
          <w:szCs w:val="24"/>
        </w:rPr>
        <w:t xml:space="preserve">sredstava </w:t>
      </w:r>
      <w:r w:rsidR="00A06E69">
        <w:rPr>
          <w:rFonts w:ascii="Times New Roman" w:hAnsi="Times New Roman" w:cs="Times New Roman"/>
          <w:sz w:val="24"/>
          <w:szCs w:val="24"/>
        </w:rPr>
        <w:t>za potrebe financijskog plana (</w:t>
      </w:r>
      <w:r w:rsidR="00A06E69" w:rsidRPr="002505FA">
        <w:rPr>
          <w:rFonts w:ascii="Times New Roman" w:hAnsi="Times New Roman" w:cs="Times New Roman"/>
          <w:sz w:val="24"/>
          <w:szCs w:val="24"/>
        </w:rPr>
        <w:t>dodijeljeni</w:t>
      </w:r>
      <w:r w:rsidR="00A06E69" w:rsidRPr="002505FA" w:rsidDel="00A06E69">
        <w:rPr>
          <w:rFonts w:ascii="Times New Roman" w:hAnsi="Times New Roman" w:cs="Times New Roman"/>
          <w:sz w:val="24"/>
          <w:szCs w:val="24"/>
        </w:rPr>
        <w:t xml:space="preserve"> </w:t>
      </w:r>
      <w:r w:rsidR="00BD277F" w:rsidRPr="002505FA">
        <w:rPr>
          <w:rFonts w:ascii="Times New Roman" w:hAnsi="Times New Roman" w:cs="Times New Roman"/>
          <w:sz w:val="24"/>
          <w:szCs w:val="24"/>
        </w:rPr>
        <w:t>iznosi limita od nadležnog razdjela</w:t>
      </w:r>
      <w:r w:rsidR="00A06E69">
        <w:rPr>
          <w:rFonts w:ascii="Times New Roman" w:hAnsi="Times New Roman" w:cs="Times New Roman"/>
          <w:sz w:val="24"/>
          <w:szCs w:val="24"/>
        </w:rPr>
        <w:t>) i</w:t>
      </w:r>
      <w:r w:rsidR="00BD277F" w:rsidRPr="002505FA">
        <w:rPr>
          <w:rFonts w:ascii="Times New Roman" w:hAnsi="Times New Roman" w:cs="Times New Roman"/>
          <w:sz w:val="24"/>
          <w:szCs w:val="24"/>
        </w:rPr>
        <w:t xml:space="preserve"> nužnog novo</w:t>
      </w:r>
      <w:r w:rsidR="000408D5">
        <w:rPr>
          <w:rFonts w:ascii="Times New Roman" w:hAnsi="Times New Roman" w:cs="Times New Roman"/>
          <w:sz w:val="24"/>
          <w:szCs w:val="24"/>
        </w:rPr>
        <w:t xml:space="preserve">g </w:t>
      </w:r>
      <w:r w:rsidR="00BD277F" w:rsidRPr="002505FA">
        <w:rPr>
          <w:rFonts w:ascii="Times New Roman" w:hAnsi="Times New Roman" w:cs="Times New Roman"/>
          <w:sz w:val="24"/>
          <w:szCs w:val="24"/>
        </w:rPr>
        <w:t>zapošljavanja zbog intelektualnim radom intenzivne djelatnosti Zavoda</w:t>
      </w:r>
      <w:r w:rsidR="00A06E69" w:rsidRPr="00A06E69">
        <w:rPr>
          <w:rFonts w:ascii="Times New Roman" w:hAnsi="Times New Roman" w:cs="Times New Roman"/>
          <w:sz w:val="24"/>
          <w:szCs w:val="24"/>
        </w:rPr>
        <w:t xml:space="preserve"> </w:t>
      </w:r>
      <w:r w:rsidR="00A06E69">
        <w:rPr>
          <w:rFonts w:ascii="Times New Roman" w:hAnsi="Times New Roman" w:cs="Times New Roman"/>
          <w:sz w:val="24"/>
          <w:szCs w:val="24"/>
        </w:rPr>
        <w:t>uz značajni porast važećih materijalnih prava zaposlenika u odnosu na 2023. godinu</w:t>
      </w:r>
      <w:r w:rsidR="00BD277F" w:rsidRPr="002505FA">
        <w:rPr>
          <w:rFonts w:ascii="Times New Roman" w:hAnsi="Times New Roman" w:cs="Times New Roman"/>
          <w:sz w:val="24"/>
          <w:szCs w:val="24"/>
        </w:rPr>
        <w:t xml:space="preserve">. Sadašnja razina </w:t>
      </w:r>
      <w:r w:rsidR="002F2B2D">
        <w:rPr>
          <w:rFonts w:ascii="Times New Roman" w:hAnsi="Times New Roman" w:cs="Times New Roman"/>
          <w:sz w:val="24"/>
          <w:szCs w:val="24"/>
        </w:rPr>
        <w:t>popunjenosti propisanih radnih mjesta od</w:t>
      </w:r>
      <w:r w:rsidR="002F2B2D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BD277F" w:rsidRPr="002505FA">
        <w:rPr>
          <w:rFonts w:ascii="Times New Roman" w:hAnsi="Times New Roman" w:cs="Times New Roman"/>
          <w:sz w:val="24"/>
          <w:szCs w:val="24"/>
        </w:rPr>
        <w:t>63% (uz 83 zaposlenika)</w:t>
      </w:r>
      <w:r w:rsidR="002F2B2D">
        <w:rPr>
          <w:rFonts w:ascii="Times New Roman" w:hAnsi="Times New Roman" w:cs="Times New Roman"/>
          <w:sz w:val="24"/>
          <w:szCs w:val="24"/>
        </w:rPr>
        <w:t xml:space="preserve"> nedovoljna je za osiguravanje redovnog poslovanja</w:t>
      </w:r>
      <w:r w:rsidR="00BD277F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2F2B2D">
        <w:rPr>
          <w:rFonts w:ascii="Times New Roman" w:hAnsi="Times New Roman" w:cs="Times New Roman"/>
          <w:sz w:val="24"/>
          <w:szCs w:val="24"/>
        </w:rPr>
        <w:t>te je u 2023. odobreno novo zapošljavanje temeljem kojih je u tijeku postupak javnog</w:t>
      </w:r>
      <w:r w:rsidR="00BD277F" w:rsidRPr="002505FA">
        <w:rPr>
          <w:rFonts w:ascii="Times New Roman" w:hAnsi="Times New Roman" w:cs="Times New Roman"/>
          <w:sz w:val="24"/>
          <w:szCs w:val="24"/>
        </w:rPr>
        <w:t xml:space="preserve"> natječaj</w:t>
      </w:r>
      <w:r w:rsidR="002F2B2D">
        <w:rPr>
          <w:rFonts w:ascii="Times New Roman" w:hAnsi="Times New Roman" w:cs="Times New Roman"/>
          <w:sz w:val="24"/>
          <w:szCs w:val="24"/>
        </w:rPr>
        <w:t>a</w:t>
      </w:r>
      <w:r w:rsidR="00BD277F" w:rsidRPr="002505FA">
        <w:rPr>
          <w:rFonts w:ascii="Times New Roman" w:hAnsi="Times New Roman" w:cs="Times New Roman"/>
          <w:sz w:val="24"/>
          <w:szCs w:val="24"/>
        </w:rPr>
        <w:t xml:space="preserve"> za </w:t>
      </w:r>
      <w:r w:rsidR="002F2B2D">
        <w:rPr>
          <w:rFonts w:ascii="Times New Roman" w:hAnsi="Times New Roman" w:cs="Times New Roman"/>
          <w:sz w:val="24"/>
          <w:szCs w:val="24"/>
        </w:rPr>
        <w:t>8</w:t>
      </w:r>
      <w:r w:rsidR="002F2B2D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BD277F" w:rsidRPr="002505FA">
        <w:rPr>
          <w:rFonts w:ascii="Times New Roman" w:hAnsi="Times New Roman" w:cs="Times New Roman"/>
          <w:sz w:val="24"/>
          <w:szCs w:val="24"/>
        </w:rPr>
        <w:t>radnih mjesta</w:t>
      </w:r>
      <w:r w:rsidR="002F2B2D">
        <w:rPr>
          <w:rFonts w:ascii="Times New Roman" w:hAnsi="Times New Roman" w:cs="Times New Roman"/>
          <w:sz w:val="24"/>
          <w:szCs w:val="24"/>
        </w:rPr>
        <w:t>.</w:t>
      </w:r>
      <w:r w:rsidR="00BD277F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2F2B2D">
        <w:rPr>
          <w:rFonts w:ascii="Times New Roman" w:hAnsi="Times New Roman" w:cs="Times New Roman"/>
          <w:sz w:val="24"/>
          <w:szCs w:val="24"/>
        </w:rPr>
        <w:t xml:space="preserve"> Temeljem </w:t>
      </w:r>
      <w:r w:rsidR="00BD277F" w:rsidRPr="002505FA">
        <w:rPr>
          <w:rFonts w:ascii="Times New Roman" w:hAnsi="Times New Roman" w:cs="Times New Roman"/>
          <w:sz w:val="24"/>
          <w:szCs w:val="24"/>
        </w:rPr>
        <w:t>dosadašnjih procesa zapošljavanja</w:t>
      </w:r>
      <w:r w:rsidR="002F2B2D">
        <w:rPr>
          <w:rFonts w:ascii="Times New Roman" w:hAnsi="Times New Roman" w:cs="Times New Roman"/>
          <w:sz w:val="24"/>
          <w:szCs w:val="24"/>
        </w:rPr>
        <w:t xml:space="preserve"> (</w:t>
      </w:r>
      <w:r w:rsidR="00805D13" w:rsidRPr="002505FA">
        <w:rPr>
          <w:rFonts w:ascii="Times New Roman" w:hAnsi="Times New Roman" w:cs="Times New Roman"/>
          <w:sz w:val="24"/>
          <w:szCs w:val="24"/>
        </w:rPr>
        <w:t xml:space="preserve">malobrojnost </w:t>
      </w:r>
      <w:r w:rsidR="00BD277F" w:rsidRPr="002505FA">
        <w:rPr>
          <w:rFonts w:ascii="Times New Roman" w:hAnsi="Times New Roman" w:cs="Times New Roman"/>
          <w:sz w:val="24"/>
          <w:szCs w:val="24"/>
        </w:rPr>
        <w:t>pr</w:t>
      </w:r>
      <w:r w:rsidR="00C41A8B" w:rsidRPr="002505FA">
        <w:rPr>
          <w:rFonts w:ascii="Times New Roman" w:hAnsi="Times New Roman" w:cs="Times New Roman"/>
          <w:sz w:val="24"/>
          <w:szCs w:val="24"/>
        </w:rPr>
        <w:t>ijava kandidata</w:t>
      </w:r>
      <w:r w:rsidR="002F2B2D">
        <w:rPr>
          <w:rFonts w:ascii="Times New Roman" w:hAnsi="Times New Roman" w:cs="Times New Roman"/>
          <w:sz w:val="24"/>
          <w:szCs w:val="24"/>
        </w:rPr>
        <w:t xml:space="preserve">, slaba prolaznost u </w:t>
      </w:r>
      <w:r w:rsidR="00C41A8B" w:rsidRPr="002505FA">
        <w:rPr>
          <w:rFonts w:ascii="Times New Roman" w:hAnsi="Times New Roman" w:cs="Times New Roman"/>
          <w:sz w:val="24"/>
          <w:szCs w:val="24"/>
        </w:rPr>
        <w:t>selekcijskim procesima</w:t>
      </w:r>
      <w:r w:rsidR="002F2B2D">
        <w:rPr>
          <w:rFonts w:ascii="Times New Roman" w:hAnsi="Times New Roman" w:cs="Times New Roman"/>
          <w:sz w:val="24"/>
          <w:szCs w:val="24"/>
        </w:rPr>
        <w:t xml:space="preserve">, dugotrajni postupak do stupanja u službu odabranih kandidata) te planiranog i uobičajenog odljeva zaposlenika, rashodi za zaposlene u 2024. godini planirani su na osnovi prosječnog godišnjeg </w:t>
      </w:r>
      <w:r w:rsidR="00C41A8B" w:rsidRPr="002505FA">
        <w:rPr>
          <w:rFonts w:ascii="Times New Roman" w:hAnsi="Times New Roman" w:cs="Times New Roman"/>
          <w:sz w:val="24"/>
          <w:szCs w:val="24"/>
        </w:rPr>
        <w:t>ukup</w:t>
      </w:r>
      <w:r w:rsidR="002F2B2D">
        <w:rPr>
          <w:rFonts w:ascii="Times New Roman" w:hAnsi="Times New Roman" w:cs="Times New Roman"/>
          <w:sz w:val="24"/>
          <w:szCs w:val="24"/>
        </w:rPr>
        <w:t>nog</w:t>
      </w:r>
      <w:r w:rsidR="00C41A8B" w:rsidRPr="002505FA">
        <w:rPr>
          <w:rFonts w:ascii="Times New Roman" w:hAnsi="Times New Roman" w:cs="Times New Roman"/>
          <w:sz w:val="24"/>
          <w:szCs w:val="24"/>
        </w:rPr>
        <w:t xml:space="preserve"> broj</w:t>
      </w:r>
      <w:r w:rsidR="00D776B2">
        <w:rPr>
          <w:rFonts w:ascii="Times New Roman" w:hAnsi="Times New Roman" w:cs="Times New Roman"/>
          <w:sz w:val="24"/>
          <w:szCs w:val="24"/>
        </w:rPr>
        <w:t>a</w:t>
      </w:r>
      <w:r w:rsidR="00C41A8B" w:rsidRPr="002505FA">
        <w:rPr>
          <w:rFonts w:ascii="Times New Roman" w:hAnsi="Times New Roman" w:cs="Times New Roman"/>
          <w:sz w:val="24"/>
          <w:szCs w:val="24"/>
        </w:rPr>
        <w:t xml:space="preserve"> od 88 zaposlenika (što odgovara popunjenosti radnih mjesta predviđenih propisima o unutarnjem ustrojstvu od 67%). </w:t>
      </w:r>
      <w:r w:rsidR="00D776B2">
        <w:rPr>
          <w:rFonts w:ascii="Times New Roman" w:hAnsi="Times New Roman" w:cs="Times New Roman"/>
          <w:sz w:val="24"/>
          <w:szCs w:val="24"/>
        </w:rPr>
        <w:t xml:space="preserve">S obzirom na raspoloživa  sredstva za financijski plan (dodijeljeni limiti) projekcije rashoda za zaposlene </w:t>
      </w:r>
      <w:r w:rsidR="00C41A8B" w:rsidRPr="002505FA">
        <w:rPr>
          <w:rFonts w:ascii="Times New Roman" w:hAnsi="Times New Roman" w:cs="Times New Roman"/>
          <w:sz w:val="24"/>
          <w:szCs w:val="24"/>
        </w:rPr>
        <w:t>za godine 2025-2026</w:t>
      </w:r>
      <w:r w:rsidR="00D776B2">
        <w:rPr>
          <w:rFonts w:ascii="Times New Roman" w:hAnsi="Times New Roman" w:cs="Times New Roman"/>
          <w:sz w:val="24"/>
          <w:szCs w:val="24"/>
        </w:rPr>
        <w:t xml:space="preserve"> planirane su za jednak broj zaposlenika (88 tj. 67% popunjenosti radnih mjesta)</w:t>
      </w:r>
      <w:r w:rsidR="00C41A8B" w:rsidRPr="002505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E5012" w14:textId="1B0B2819" w:rsidR="00BB70BF" w:rsidRPr="002505FA" w:rsidRDefault="00BB70BF" w:rsidP="00FF2625">
      <w:p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Rashod</w:t>
      </w:r>
      <w:r w:rsidR="000408D5">
        <w:rPr>
          <w:rFonts w:ascii="Times New Roman" w:hAnsi="Times New Roman" w:cs="Times New Roman"/>
          <w:sz w:val="24"/>
          <w:szCs w:val="24"/>
        </w:rPr>
        <w:t>i</w:t>
      </w:r>
      <w:r w:rsidRPr="002505FA">
        <w:rPr>
          <w:rFonts w:ascii="Times New Roman" w:hAnsi="Times New Roman" w:cs="Times New Roman"/>
          <w:sz w:val="24"/>
          <w:szCs w:val="24"/>
        </w:rPr>
        <w:t xml:space="preserve"> u skupini 42 (rashodi z</w:t>
      </w:r>
      <w:r w:rsidR="00EA20A0" w:rsidRPr="002505FA">
        <w:rPr>
          <w:rFonts w:ascii="Times New Roman" w:hAnsi="Times New Roman" w:cs="Times New Roman"/>
          <w:sz w:val="24"/>
          <w:szCs w:val="24"/>
        </w:rPr>
        <w:t>a nabavu nefinancijske imovine)</w:t>
      </w:r>
      <w:r w:rsidRPr="002505FA">
        <w:rPr>
          <w:rFonts w:ascii="Times New Roman" w:hAnsi="Times New Roman" w:cs="Times New Roman"/>
          <w:sz w:val="24"/>
          <w:szCs w:val="24"/>
        </w:rPr>
        <w:t xml:space="preserve">, </w:t>
      </w:r>
      <w:r w:rsidR="00AF7BE3" w:rsidRPr="002505FA">
        <w:rPr>
          <w:rFonts w:ascii="Times New Roman" w:hAnsi="Times New Roman" w:cs="Times New Roman"/>
          <w:sz w:val="24"/>
          <w:szCs w:val="24"/>
        </w:rPr>
        <w:t>s izvora 11 se planira</w:t>
      </w:r>
      <w:r w:rsidR="000408D5">
        <w:rPr>
          <w:rFonts w:ascii="Times New Roman" w:hAnsi="Times New Roman" w:cs="Times New Roman"/>
          <w:sz w:val="24"/>
          <w:szCs w:val="24"/>
        </w:rPr>
        <w:t>ni su</w:t>
      </w:r>
      <w:r w:rsidR="00AF7BE3" w:rsidRPr="002505FA">
        <w:rPr>
          <w:rFonts w:ascii="Times New Roman" w:hAnsi="Times New Roman" w:cs="Times New Roman"/>
          <w:sz w:val="24"/>
          <w:szCs w:val="24"/>
        </w:rPr>
        <w:t xml:space="preserve"> za neophodnu zamjenu dotrajale opreme za grijanje, ventilaciju i hlađenje, te </w:t>
      </w:r>
      <w:r w:rsidRPr="002505FA">
        <w:rPr>
          <w:rFonts w:ascii="Times New Roman" w:hAnsi="Times New Roman" w:cs="Times New Roman"/>
          <w:sz w:val="24"/>
          <w:szCs w:val="24"/>
        </w:rPr>
        <w:t xml:space="preserve">u </w:t>
      </w:r>
      <w:r w:rsidR="00AF7BE3" w:rsidRPr="002505FA">
        <w:rPr>
          <w:rFonts w:ascii="Times New Roman" w:hAnsi="Times New Roman" w:cs="Times New Roman"/>
          <w:sz w:val="24"/>
          <w:szCs w:val="24"/>
        </w:rPr>
        <w:t xml:space="preserve">manjem </w:t>
      </w:r>
      <w:r w:rsidRPr="002505FA">
        <w:rPr>
          <w:rFonts w:ascii="Times New Roman" w:hAnsi="Times New Roman" w:cs="Times New Roman"/>
          <w:sz w:val="24"/>
          <w:szCs w:val="24"/>
        </w:rPr>
        <w:t xml:space="preserve">dijelu </w:t>
      </w:r>
      <w:r w:rsidR="00AF7BE3" w:rsidRPr="002505FA">
        <w:rPr>
          <w:rFonts w:ascii="Times New Roman" w:hAnsi="Times New Roman" w:cs="Times New Roman"/>
          <w:sz w:val="24"/>
          <w:szCs w:val="24"/>
        </w:rPr>
        <w:t xml:space="preserve">za </w:t>
      </w:r>
      <w:r w:rsidRPr="002505FA">
        <w:rPr>
          <w:rFonts w:ascii="Times New Roman" w:hAnsi="Times New Roman" w:cs="Times New Roman"/>
          <w:sz w:val="24"/>
          <w:szCs w:val="24"/>
        </w:rPr>
        <w:t>nabavu nove informatičke opreme</w:t>
      </w:r>
      <w:r w:rsidR="00AF7BE3" w:rsidRPr="002505FA">
        <w:rPr>
          <w:rFonts w:ascii="Times New Roman" w:hAnsi="Times New Roman" w:cs="Times New Roman"/>
          <w:sz w:val="24"/>
          <w:szCs w:val="24"/>
        </w:rPr>
        <w:t>. Ve</w:t>
      </w:r>
      <w:r w:rsidRPr="002505FA">
        <w:rPr>
          <w:rFonts w:ascii="Times New Roman" w:hAnsi="Times New Roman" w:cs="Times New Roman"/>
          <w:sz w:val="24"/>
          <w:szCs w:val="24"/>
        </w:rPr>
        <w:t>ćim dijelom s</w:t>
      </w:r>
      <w:r w:rsidR="00AF7BE3" w:rsidRPr="002505FA">
        <w:rPr>
          <w:rFonts w:ascii="Times New Roman" w:hAnsi="Times New Roman" w:cs="Times New Roman"/>
          <w:sz w:val="24"/>
          <w:szCs w:val="24"/>
        </w:rPr>
        <w:t>e</w:t>
      </w:r>
      <w:r w:rsidRPr="002505FA">
        <w:rPr>
          <w:rFonts w:ascii="Times New Roman" w:hAnsi="Times New Roman" w:cs="Times New Roman"/>
          <w:sz w:val="24"/>
          <w:szCs w:val="24"/>
        </w:rPr>
        <w:t xml:space="preserve"> aktivnost</w:t>
      </w:r>
      <w:r w:rsidR="00D776B2">
        <w:rPr>
          <w:rFonts w:ascii="Times New Roman" w:hAnsi="Times New Roman" w:cs="Times New Roman"/>
          <w:sz w:val="24"/>
          <w:szCs w:val="24"/>
        </w:rPr>
        <w:t xml:space="preserve"> nabave nove informatičke opreme</w:t>
      </w:r>
      <w:r w:rsidRPr="002505FA">
        <w:rPr>
          <w:rFonts w:ascii="Times New Roman" w:hAnsi="Times New Roman" w:cs="Times New Roman"/>
          <w:sz w:val="24"/>
          <w:szCs w:val="24"/>
        </w:rPr>
        <w:t xml:space="preserve"> planira na izvoru 43-T s obzirom na to da </w:t>
      </w:r>
      <w:r w:rsidR="00AF7BE3" w:rsidRPr="002505FA">
        <w:rPr>
          <w:rFonts w:ascii="Times New Roman" w:hAnsi="Times New Roman" w:cs="Times New Roman"/>
          <w:sz w:val="24"/>
          <w:szCs w:val="24"/>
        </w:rPr>
        <w:t>je</w:t>
      </w:r>
      <w:r w:rsidR="00805D13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D776B2">
        <w:rPr>
          <w:rFonts w:ascii="Times New Roman" w:hAnsi="Times New Roman" w:cs="Times New Roman"/>
          <w:sz w:val="24"/>
          <w:szCs w:val="24"/>
        </w:rPr>
        <w:t xml:space="preserve">moderna </w:t>
      </w:r>
      <w:r w:rsidR="00805D13" w:rsidRPr="002505FA">
        <w:rPr>
          <w:rFonts w:ascii="Times New Roman" w:hAnsi="Times New Roman" w:cs="Times New Roman"/>
          <w:sz w:val="24"/>
          <w:szCs w:val="24"/>
        </w:rPr>
        <w:t>informatička opremljenost u</w:t>
      </w:r>
      <w:r w:rsidRPr="002505FA">
        <w:rPr>
          <w:rFonts w:ascii="Times New Roman" w:hAnsi="Times New Roman" w:cs="Times New Roman"/>
          <w:sz w:val="24"/>
          <w:szCs w:val="24"/>
        </w:rPr>
        <w:t xml:space="preserve"> velikom dijelu </w:t>
      </w:r>
      <w:r w:rsidR="00D776B2">
        <w:rPr>
          <w:rFonts w:ascii="Times New Roman" w:hAnsi="Times New Roman" w:cs="Times New Roman"/>
          <w:sz w:val="24"/>
          <w:szCs w:val="24"/>
        </w:rPr>
        <w:t>pred</w:t>
      </w:r>
      <w:r w:rsidRPr="002505FA">
        <w:rPr>
          <w:rFonts w:ascii="Times New Roman" w:hAnsi="Times New Roman" w:cs="Times New Roman"/>
          <w:sz w:val="24"/>
          <w:szCs w:val="24"/>
        </w:rPr>
        <w:t xml:space="preserve">uvjet </w:t>
      </w:r>
      <w:r w:rsidR="00D776B2">
        <w:rPr>
          <w:rFonts w:ascii="Times New Roman" w:hAnsi="Times New Roman" w:cs="Times New Roman"/>
          <w:sz w:val="24"/>
          <w:szCs w:val="24"/>
        </w:rPr>
        <w:t xml:space="preserve">za nužnu </w:t>
      </w:r>
      <w:r w:rsidRPr="002505FA">
        <w:rPr>
          <w:rFonts w:ascii="Times New Roman" w:hAnsi="Times New Roman" w:cs="Times New Roman"/>
          <w:sz w:val="24"/>
          <w:szCs w:val="24"/>
        </w:rPr>
        <w:t>međupovezano</w:t>
      </w:r>
      <w:r w:rsidR="00805D13" w:rsidRPr="002505FA">
        <w:rPr>
          <w:rFonts w:ascii="Times New Roman" w:hAnsi="Times New Roman" w:cs="Times New Roman"/>
          <w:sz w:val="24"/>
          <w:szCs w:val="24"/>
        </w:rPr>
        <w:t>st</w:t>
      </w:r>
      <w:r w:rsidR="00D776B2">
        <w:rPr>
          <w:rFonts w:ascii="Times New Roman" w:hAnsi="Times New Roman" w:cs="Times New Roman"/>
          <w:sz w:val="24"/>
          <w:szCs w:val="24"/>
        </w:rPr>
        <w:t xml:space="preserve"> </w:t>
      </w:r>
      <w:r w:rsidRPr="002505FA">
        <w:rPr>
          <w:rFonts w:ascii="Times New Roman" w:hAnsi="Times New Roman" w:cs="Times New Roman"/>
          <w:sz w:val="24"/>
          <w:szCs w:val="24"/>
        </w:rPr>
        <w:t xml:space="preserve">nacionalnog sustava intelektualnog vlasništva s europskim i međunarodnim sustavom </w:t>
      </w:r>
      <w:r w:rsidR="00D776B2">
        <w:rPr>
          <w:rFonts w:ascii="Times New Roman" w:hAnsi="Times New Roman" w:cs="Times New Roman"/>
          <w:sz w:val="24"/>
          <w:szCs w:val="24"/>
        </w:rPr>
        <w:t>odnosno za provedbu</w:t>
      </w:r>
      <w:r w:rsidR="00D776B2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Pr="002505FA">
        <w:rPr>
          <w:rFonts w:ascii="Times New Roman" w:hAnsi="Times New Roman" w:cs="Times New Roman"/>
          <w:sz w:val="24"/>
          <w:szCs w:val="24"/>
        </w:rPr>
        <w:t>odgovarajući</w:t>
      </w:r>
      <w:r w:rsidR="00D776B2">
        <w:rPr>
          <w:rFonts w:ascii="Times New Roman" w:hAnsi="Times New Roman" w:cs="Times New Roman"/>
          <w:sz w:val="24"/>
          <w:szCs w:val="24"/>
        </w:rPr>
        <w:t>h</w:t>
      </w:r>
      <w:r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D776B2" w:rsidRPr="002505FA">
        <w:rPr>
          <w:rFonts w:ascii="Times New Roman" w:hAnsi="Times New Roman" w:cs="Times New Roman"/>
          <w:sz w:val="24"/>
          <w:szCs w:val="24"/>
        </w:rPr>
        <w:t>projek</w:t>
      </w:r>
      <w:r w:rsidR="00D776B2">
        <w:rPr>
          <w:rFonts w:ascii="Times New Roman" w:hAnsi="Times New Roman" w:cs="Times New Roman"/>
          <w:sz w:val="24"/>
          <w:szCs w:val="24"/>
        </w:rPr>
        <w:t>ata</w:t>
      </w:r>
      <w:r w:rsidR="00D776B2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Pr="002505FA">
        <w:rPr>
          <w:rFonts w:ascii="Times New Roman" w:hAnsi="Times New Roman" w:cs="Times New Roman"/>
          <w:sz w:val="24"/>
          <w:szCs w:val="24"/>
        </w:rPr>
        <w:t xml:space="preserve">suradnje. </w:t>
      </w:r>
    </w:p>
    <w:p w14:paraId="2A829ABB" w14:textId="1FDF7D42" w:rsidR="00BB70BF" w:rsidRPr="002505FA" w:rsidRDefault="00BB70BF" w:rsidP="00FF2625">
      <w:p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U skupini 32 </w:t>
      </w:r>
      <w:r w:rsidR="00926159">
        <w:rPr>
          <w:rFonts w:ascii="Times New Roman" w:hAnsi="Times New Roman" w:cs="Times New Roman"/>
          <w:sz w:val="24"/>
          <w:szCs w:val="24"/>
        </w:rPr>
        <w:t xml:space="preserve">(materijalni rashodi) ukupni </w:t>
      </w:r>
      <w:r w:rsidRPr="002505FA">
        <w:rPr>
          <w:rFonts w:ascii="Times New Roman" w:hAnsi="Times New Roman" w:cs="Times New Roman"/>
          <w:sz w:val="24"/>
          <w:szCs w:val="24"/>
        </w:rPr>
        <w:t xml:space="preserve">rashodi </w:t>
      </w:r>
      <w:r w:rsidR="00926159">
        <w:rPr>
          <w:rFonts w:ascii="Times New Roman" w:hAnsi="Times New Roman" w:cs="Times New Roman"/>
          <w:sz w:val="24"/>
          <w:szCs w:val="24"/>
        </w:rPr>
        <w:t xml:space="preserve">planirani su </w:t>
      </w:r>
      <w:r w:rsidRPr="002505FA">
        <w:rPr>
          <w:rFonts w:ascii="Times New Roman" w:hAnsi="Times New Roman" w:cs="Times New Roman"/>
          <w:sz w:val="24"/>
          <w:szCs w:val="24"/>
        </w:rPr>
        <w:t xml:space="preserve">na </w:t>
      </w:r>
      <w:r w:rsidR="00E541C6" w:rsidRPr="002505FA">
        <w:rPr>
          <w:rFonts w:ascii="Times New Roman" w:hAnsi="Times New Roman" w:cs="Times New Roman"/>
          <w:sz w:val="24"/>
          <w:szCs w:val="24"/>
        </w:rPr>
        <w:t xml:space="preserve">znatno višoj razini </w:t>
      </w:r>
      <w:r w:rsidR="003D1B06" w:rsidRPr="002505FA">
        <w:rPr>
          <w:rFonts w:ascii="Times New Roman" w:hAnsi="Times New Roman" w:cs="Times New Roman"/>
          <w:sz w:val="24"/>
          <w:szCs w:val="24"/>
        </w:rPr>
        <w:t xml:space="preserve">(viši za 43%) </w:t>
      </w:r>
      <w:r w:rsidR="00E541C6" w:rsidRPr="002505FA">
        <w:rPr>
          <w:rFonts w:ascii="Times New Roman" w:hAnsi="Times New Roman" w:cs="Times New Roman"/>
          <w:sz w:val="24"/>
          <w:szCs w:val="24"/>
        </w:rPr>
        <w:t>od usporedne 2023.</w:t>
      </w:r>
      <w:r w:rsidR="00926159">
        <w:rPr>
          <w:rFonts w:ascii="Times New Roman" w:hAnsi="Times New Roman" w:cs="Times New Roman"/>
          <w:sz w:val="24"/>
          <w:szCs w:val="24"/>
        </w:rPr>
        <w:t xml:space="preserve"> </w:t>
      </w:r>
      <w:r w:rsidR="00E541C6" w:rsidRPr="002505FA">
        <w:rPr>
          <w:rFonts w:ascii="Times New Roman" w:hAnsi="Times New Roman" w:cs="Times New Roman"/>
          <w:sz w:val="24"/>
          <w:szCs w:val="24"/>
        </w:rPr>
        <w:t>godine</w:t>
      </w:r>
      <w:r w:rsidR="00926159">
        <w:rPr>
          <w:rFonts w:ascii="Times New Roman" w:hAnsi="Times New Roman" w:cs="Times New Roman"/>
          <w:sz w:val="24"/>
          <w:szCs w:val="24"/>
        </w:rPr>
        <w:t xml:space="preserve">, pri čemu </w:t>
      </w:r>
      <w:r w:rsidR="00E541C6" w:rsidRPr="002505FA">
        <w:rPr>
          <w:rFonts w:ascii="Times New Roman" w:hAnsi="Times New Roman" w:cs="Times New Roman"/>
          <w:sz w:val="24"/>
          <w:szCs w:val="24"/>
        </w:rPr>
        <w:t xml:space="preserve">su rashodi </w:t>
      </w:r>
      <w:r w:rsidR="00926159">
        <w:rPr>
          <w:rFonts w:ascii="Times New Roman" w:hAnsi="Times New Roman" w:cs="Times New Roman"/>
          <w:sz w:val="24"/>
          <w:szCs w:val="24"/>
        </w:rPr>
        <w:t xml:space="preserve">s </w:t>
      </w:r>
      <w:r w:rsidR="00E541C6" w:rsidRPr="002505FA">
        <w:rPr>
          <w:rFonts w:ascii="Times New Roman" w:hAnsi="Times New Roman" w:cs="Times New Roman"/>
          <w:sz w:val="24"/>
          <w:szCs w:val="24"/>
        </w:rPr>
        <w:t xml:space="preserve">izvora 11 </w:t>
      </w:r>
      <w:r w:rsidR="00926159" w:rsidRPr="002505FA">
        <w:rPr>
          <w:rFonts w:ascii="Times New Roman" w:hAnsi="Times New Roman" w:cs="Times New Roman"/>
          <w:sz w:val="24"/>
          <w:szCs w:val="24"/>
        </w:rPr>
        <w:t>p</w:t>
      </w:r>
      <w:r w:rsidR="00926159">
        <w:rPr>
          <w:rFonts w:ascii="Times New Roman" w:hAnsi="Times New Roman" w:cs="Times New Roman"/>
          <w:sz w:val="24"/>
          <w:szCs w:val="24"/>
        </w:rPr>
        <w:t>lanirani</w:t>
      </w:r>
      <w:r w:rsidR="00926159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E541C6" w:rsidRPr="002505FA">
        <w:rPr>
          <w:rFonts w:ascii="Times New Roman" w:hAnsi="Times New Roman" w:cs="Times New Roman"/>
          <w:sz w:val="24"/>
          <w:szCs w:val="24"/>
        </w:rPr>
        <w:t xml:space="preserve">na </w:t>
      </w:r>
      <w:r w:rsidR="00926159">
        <w:rPr>
          <w:rFonts w:ascii="Times New Roman" w:hAnsi="Times New Roman" w:cs="Times New Roman"/>
          <w:sz w:val="24"/>
          <w:szCs w:val="24"/>
        </w:rPr>
        <w:t>razini</w:t>
      </w:r>
      <w:r w:rsidR="00926159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3D1B06" w:rsidRPr="002505FA">
        <w:rPr>
          <w:rFonts w:ascii="Times New Roman" w:hAnsi="Times New Roman" w:cs="Times New Roman"/>
          <w:sz w:val="24"/>
          <w:szCs w:val="24"/>
        </w:rPr>
        <w:t xml:space="preserve">od </w:t>
      </w:r>
      <w:r w:rsidR="00E541C6" w:rsidRPr="002505FA">
        <w:rPr>
          <w:rFonts w:ascii="Times New Roman" w:hAnsi="Times New Roman" w:cs="Times New Roman"/>
          <w:sz w:val="24"/>
          <w:szCs w:val="24"/>
        </w:rPr>
        <w:t>60% od materijalnih rashoda izvora 11</w:t>
      </w:r>
      <w:r w:rsidR="00D0647F" w:rsidRPr="002505FA">
        <w:rPr>
          <w:rFonts w:ascii="Times New Roman" w:hAnsi="Times New Roman" w:cs="Times New Roman"/>
          <w:sz w:val="24"/>
          <w:szCs w:val="24"/>
        </w:rPr>
        <w:t xml:space="preserve"> iz 2023.</w:t>
      </w:r>
      <w:r w:rsidR="000408D5">
        <w:rPr>
          <w:rFonts w:ascii="Times New Roman" w:hAnsi="Times New Roman" w:cs="Times New Roman"/>
          <w:sz w:val="24"/>
          <w:szCs w:val="24"/>
        </w:rPr>
        <w:t>,</w:t>
      </w:r>
      <w:r w:rsidR="00926159">
        <w:rPr>
          <w:rFonts w:ascii="Times New Roman" w:hAnsi="Times New Roman" w:cs="Times New Roman"/>
          <w:sz w:val="24"/>
          <w:szCs w:val="24"/>
        </w:rPr>
        <w:t xml:space="preserve"> u skladu s </w:t>
      </w:r>
      <w:r w:rsidR="00143E99">
        <w:rPr>
          <w:rFonts w:ascii="Times New Roman" w:hAnsi="Times New Roman" w:cs="Times New Roman"/>
          <w:sz w:val="24"/>
          <w:szCs w:val="24"/>
        </w:rPr>
        <w:t xml:space="preserve">ukupnim </w:t>
      </w:r>
      <w:r w:rsidR="00926159">
        <w:rPr>
          <w:rFonts w:ascii="Times New Roman" w:hAnsi="Times New Roman" w:cs="Times New Roman"/>
          <w:sz w:val="24"/>
          <w:szCs w:val="24"/>
        </w:rPr>
        <w:t>ra</w:t>
      </w:r>
      <w:r w:rsidR="00143E99">
        <w:rPr>
          <w:rFonts w:ascii="Times New Roman" w:hAnsi="Times New Roman" w:cs="Times New Roman"/>
          <w:sz w:val="24"/>
          <w:szCs w:val="24"/>
        </w:rPr>
        <w:t>spoloživim sredstvima za financijski plan (</w:t>
      </w:r>
      <w:r w:rsidR="00D0647F" w:rsidRPr="002505FA">
        <w:rPr>
          <w:rFonts w:ascii="Times New Roman" w:hAnsi="Times New Roman" w:cs="Times New Roman"/>
          <w:sz w:val="24"/>
          <w:szCs w:val="24"/>
        </w:rPr>
        <w:t>dodijeljeni</w:t>
      </w:r>
      <w:r w:rsidR="00143E99">
        <w:rPr>
          <w:rFonts w:ascii="Times New Roman" w:hAnsi="Times New Roman" w:cs="Times New Roman"/>
          <w:sz w:val="24"/>
          <w:szCs w:val="24"/>
        </w:rPr>
        <w:t>m</w:t>
      </w:r>
      <w:r w:rsidR="00D0647F" w:rsidRPr="002505FA">
        <w:rPr>
          <w:rFonts w:ascii="Times New Roman" w:hAnsi="Times New Roman" w:cs="Times New Roman"/>
          <w:sz w:val="24"/>
          <w:szCs w:val="24"/>
        </w:rPr>
        <w:t xml:space="preserve"> limit</w:t>
      </w:r>
      <w:r w:rsidR="00143E99">
        <w:rPr>
          <w:rFonts w:ascii="Times New Roman" w:hAnsi="Times New Roman" w:cs="Times New Roman"/>
          <w:sz w:val="24"/>
          <w:szCs w:val="24"/>
        </w:rPr>
        <w:t>im</w:t>
      </w:r>
      <w:r w:rsidR="00D0647F" w:rsidRPr="002505FA">
        <w:rPr>
          <w:rFonts w:ascii="Times New Roman" w:hAnsi="Times New Roman" w:cs="Times New Roman"/>
          <w:sz w:val="24"/>
          <w:szCs w:val="24"/>
        </w:rPr>
        <w:t>a od strane razdjela</w:t>
      </w:r>
      <w:r w:rsidR="003D1B06" w:rsidRPr="002505FA">
        <w:rPr>
          <w:rFonts w:ascii="Times New Roman" w:hAnsi="Times New Roman" w:cs="Times New Roman"/>
          <w:sz w:val="24"/>
          <w:szCs w:val="24"/>
        </w:rPr>
        <w:t>)</w:t>
      </w:r>
      <w:r w:rsidR="000408D5">
        <w:rPr>
          <w:rFonts w:ascii="Times New Roman" w:hAnsi="Times New Roman" w:cs="Times New Roman"/>
          <w:sz w:val="24"/>
          <w:szCs w:val="24"/>
        </w:rPr>
        <w:t xml:space="preserve">. </w:t>
      </w:r>
      <w:r w:rsidR="00B66B70">
        <w:rPr>
          <w:rFonts w:ascii="Times New Roman" w:hAnsi="Times New Roman" w:cs="Times New Roman"/>
          <w:sz w:val="24"/>
          <w:szCs w:val="24"/>
        </w:rPr>
        <w:t>Rashodi ove skupine</w:t>
      </w:r>
      <w:r w:rsidR="000408D5">
        <w:rPr>
          <w:rFonts w:ascii="Times New Roman" w:hAnsi="Times New Roman" w:cs="Times New Roman"/>
          <w:sz w:val="24"/>
          <w:szCs w:val="24"/>
        </w:rPr>
        <w:t xml:space="preserve"> planir</w:t>
      </w:r>
      <w:r w:rsidR="00856F70">
        <w:rPr>
          <w:rFonts w:ascii="Times New Roman" w:hAnsi="Times New Roman" w:cs="Times New Roman"/>
          <w:sz w:val="24"/>
          <w:szCs w:val="24"/>
        </w:rPr>
        <w:t>aju se u 2024. godini u znatno većem iznosu u odnosu na prethodnu godinu pokrivati sa</w:t>
      </w:r>
      <w:r w:rsidR="00B66B70">
        <w:rPr>
          <w:rFonts w:ascii="Times New Roman" w:hAnsi="Times New Roman" w:cs="Times New Roman"/>
          <w:sz w:val="24"/>
          <w:szCs w:val="24"/>
        </w:rPr>
        <w:t xml:space="preserve"> izvor</w:t>
      </w:r>
      <w:r w:rsidR="00856F70">
        <w:rPr>
          <w:rFonts w:ascii="Times New Roman" w:hAnsi="Times New Roman" w:cs="Times New Roman"/>
          <w:sz w:val="24"/>
          <w:szCs w:val="24"/>
        </w:rPr>
        <w:t>a</w:t>
      </w:r>
      <w:r w:rsidR="00B66B70">
        <w:rPr>
          <w:rFonts w:ascii="Times New Roman" w:hAnsi="Times New Roman" w:cs="Times New Roman"/>
          <w:sz w:val="24"/>
          <w:szCs w:val="24"/>
        </w:rPr>
        <w:t xml:space="preserve"> 43-T</w:t>
      </w:r>
      <w:r w:rsidR="00856F70">
        <w:rPr>
          <w:rFonts w:ascii="Times New Roman" w:hAnsi="Times New Roman" w:cs="Times New Roman"/>
          <w:sz w:val="24"/>
          <w:szCs w:val="24"/>
        </w:rPr>
        <w:t>.</w:t>
      </w:r>
      <w:r w:rsidR="00B66B70">
        <w:rPr>
          <w:rFonts w:ascii="Times New Roman" w:hAnsi="Times New Roman" w:cs="Times New Roman"/>
          <w:sz w:val="24"/>
          <w:szCs w:val="24"/>
        </w:rPr>
        <w:t xml:space="preserve"> </w:t>
      </w:r>
      <w:r w:rsidR="00020497">
        <w:rPr>
          <w:rFonts w:ascii="Times New Roman" w:hAnsi="Times New Roman" w:cs="Times New Roman"/>
          <w:sz w:val="24"/>
          <w:szCs w:val="24"/>
        </w:rPr>
        <w:t>Osim zbog porasta cijena usluga na tržištu temeljem inflatornih kretanja, u</w:t>
      </w:r>
      <w:r w:rsidR="003D1B06" w:rsidRPr="002505FA">
        <w:rPr>
          <w:rFonts w:ascii="Times New Roman" w:hAnsi="Times New Roman" w:cs="Times New Roman"/>
          <w:sz w:val="24"/>
          <w:szCs w:val="24"/>
        </w:rPr>
        <w:t xml:space="preserve">kupno povećanje </w:t>
      </w:r>
      <w:r w:rsidR="00856F70">
        <w:rPr>
          <w:rFonts w:ascii="Times New Roman" w:hAnsi="Times New Roman" w:cs="Times New Roman"/>
          <w:sz w:val="24"/>
          <w:szCs w:val="24"/>
        </w:rPr>
        <w:t xml:space="preserve">materijalnih </w:t>
      </w:r>
      <w:r w:rsidR="00143E99">
        <w:rPr>
          <w:rFonts w:ascii="Times New Roman" w:hAnsi="Times New Roman" w:cs="Times New Roman"/>
          <w:sz w:val="24"/>
          <w:szCs w:val="24"/>
        </w:rPr>
        <w:t>rashoda planira se temeljem nužne nadogradnje</w:t>
      </w:r>
      <w:r w:rsidR="003D1B06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143E99">
        <w:rPr>
          <w:rFonts w:ascii="Times New Roman" w:hAnsi="Times New Roman" w:cs="Times New Roman"/>
          <w:sz w:val="24"/>
          <w:szCs w:val="24"/>
        </w:rPr>
        <w:t>s</w:t>
      </w:r>
      <w:r w:rsidR="003D1B06" w:rsidRPr="002505FA">
        <w:rPr>
          <w:rFonts w:ascii="Times New Roman" w:hAnsi="Times New Roman" w:cs="Times New Roman"/>
          <w:sz w:val="24"/>
          <w:szCs w:val="24"/>
        </w:rPr>
        <w:t xml:space="preserve">ustava elektroničkog uredskog poslovanja </w:t>
      </w:r>
      <w:r w:rsidR="00143E99">
        <w:rPr>
          <w:rFonts w:ascii="Times New Roman" w:hAnsi="Times New Roman" w:cs="Times New Roman"/>
          <w:sz w:val="24"/>
          <w:szCs w:val="24"/>
        </w:rPr>
        <w:t>radi njegovog usklađivanja s obvezama koji proizlaze iz odgovarajućih propisa i projekata Ministarstva pravosuđa i uprave</w:t>
      </w:r>
      <w:r w:rsidR="00C958EE" w:rsidRPr="002505FA">
        <w:rPr>
          <w:rFonts w:ascii="Times New Roman" w:hAnsi="Times New Roman" w:cs="Times New Roman"/>
          <w:sz w:val="24"/>
          <w:szCs w:val="24"/>
        </w:rPr>
        <w:t xml:space="preserve">, </w:t>
      </w:r>
      <w:r w:rsidR="00143E99">
        <w:rPr>
          <w:rFonts w:ascii="Times New Roman" w:hAnsi="Times New Roman" w:cs="Times New Roman"/>
          <w:sz w:val="24"/>
          <w:szCs w:val="24"/>
        </w:rPr>
        <w:t xml:space="preserve">za </w:t>
      </w:r>
      <w:r w:rsidR="00143E99" w:rsidRPr="002505FA">
        <w:rPr>
          <w:rFonts w:ascii="Times New Roman" w:hAnsi="Times New Roman" w:cs="Times New Roman"/>
          <w:sz w:val="24"/>
          <w:szCs w:val="24"/>
        </w:rPr>
        <w:t>održavanj</w:t>
      </w:r>
      <w:r w:rsidR="00143E99">
        <w:rPr>
          <w:rFonts w:ascii="Times New Roman" w:hAnsi="Times New Roman" w:cs="Times New Roman"/>
          <w:sz w:val="24"/>
          <w:szCs w:val="24"/>
        </w:rPr>
        <w:t>e</w:t>
      </w:r>
      <w:r w:rsidR="00143E99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Pr="002505FA">
        <w:rPr>
          <w:rFonts w:ascii="Times New Roman" w:hAnsi="Times New Roman" w:cs="Times New Roman"/>
          <w:sz w:val="24"/>
          <w:szCs w:val="24"/>
        </w:rPr>
        <w:t xml:space="preserve">postojećih </w:t>
      </w:r>
      <w:r w:rsidR="00143E99">
        <w:rPr>
          <w:rFonts w:ascii="Times New Roman" w:hAnsi="Times New Roman" w:cs="Times New Roman"/>
          <w:sz w:val="24"/>
          <w:szCs w:val="24"/>
        </w:rPr>
        <w:t xml:space="preserve">softverskih </w:t>
      </w:r>
      <w:r w:rsidRPr="002505FA">
        <w:rPr>
          <w:rFonts w:ascii="Times New Roman" w:hAnsi="Times New Roman" w:cs="Times New Roman"/>
          <w:sz w:val="24"/>
          <w:szCs w:val="24"/>
        </w:rPr>
        <w:t xml:space="preserve">licenci i nabavu dodatnih licenci za potrebe razvoja digitalnog poslovanja, </w:t>
      </w:r>
      <w:r w:rsidR="00143E99">
        <w:rPr>
          <w:rFonts w:ascii="Times New Roman" w:hAnsi="Times New Roman" w:cs="Times New Roman"/>
          <w:sz w:val="24"/>
          <w:szCs w:val="24"/>
        </w:rPr>
        <w:t>za</w:t>
      </w:r>
      <w:r w:rsidR="00143E99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Pr="002505FA">
        <w:rPr>
          <w:rFonts w:ascii="Times New Roman" w:hAnsi="Times New Roman" w:cs="Times New Roman"/>
          <w:sz w:val="24"/>
          <w:szCs w:val="24"/>
        </w:rPr>
        <w:t xml:space="preserve">povećane troškove komunikacijskog povezivanja i prijenosa podataka putem komunikacijske mreže javnih tijela </w:t>
      </w:r>
      <w:proofErr w:type="spellStart"/>
      <w:r w:rsidRPr="002505FA">
        <w:rPr>
          <w:rFonts w:ascii="Times New Roman" w:hAnsi="Times New Roman" w:cs="Times New Roman"/>
          <w:sz w:val="24"/>
          <w:szCs w:val="24"/>
        </w:rPr>
        <w:t>HITRONet</w:t>
      </w:r>
      <w:proofErr w:type="spellEnd"/>
      <w:r w:rsidR="00143E99">
        <w:rPr>
          <w:rFonts w:ascii="Times New Roman" w:hAnsi="Times New Roman" w:cs="Times New Roman"/>
          <w:sz w:val="24"/>
          <w:szCs w:val="24"/>
        </w:rPr>
        <w:t xml:space="preserve"> vezanih uz korištenje </w:t>
      </w:r>
      <w:r w:rsidR="00143E99" w:rsidRPr="00143E99">
        <w:rPr>
          <w:rFonts w:ascii="Times New Roman" w:hAnsi="Times New Roman" w:cs="Times New Roman"/>
          <w:sz w:val="24"/>
          <w:szCs w:val="24"/>
        </w:rPr>
        <w:t>državne informacijske infrastrukture i servisa</w:t>
      </w:r>
      <w:r w:rsidR="00143E99">
        <w:rPr>
          <w:rFonts w:ascii="Times New Roman" w:hAnsi="Times New Roman" w:cs="Times New Roman"/>
          <w:sz w:val="24"/>
          <w:szCs w:val="24"/>
        </w:rPr>
        <w:t xml:space="preserve"> odnosno usluga </w:t>
      </w:r>
      <w:r w:rsidR="00020497">
        <w:rPr>
          <w:rFonts w:ascii="Times New Roman" w:hAnsi="Times New Roman" w:cs="Times New Roman"/>
          <w:sz w:val="24"/>
          <w:szCs w:val="24"/>
        </w:rPr>
        <w:t>Centra dijeljenih usluga</w:t>
      </w:r>
      <w:r w:rsidR="00C958EE" w:rsidRPr="002505FA">
        <w:rPr>
          <w:rFonts w:ascii="Times New Roman" w:hAnsi="Times New Roman" w:cs="Times New Roman"/>
          <w:sz w:val="24"/>
          <w:szCs w:val="24"/>
        </w:rPr>
        <w:t xml:space="preserve">, </w:t>
      </w:r>
      <w:r w:rsidR="00020497">
        <w:rPr>
          <w:rFonts w:ascii="Times New Roman" w:hAnsi="Times New Roman" w:cs="Times New Roman"/>
          <w:sz w:val="24"/>
          <w:szCs w:val="24"/>
        </w:rPr>
        <w:t>za povećane troškove usluga održavanja informacijskih (pod)sustava uvedenih ili unaprijeđenih u 2023. godini te z</w:t>
      </w:r>
      <w:r w:rsidR="00020497" w:rsidRPr="002505FA">
        <w:rPr>
          <w:rFonts w:ascii="Times New Roman" w:hAnsi="Times New Roman" w:cs="Times New Roman"/>
          <w:sz w:val="24"/>
          <w:szCs w:val="24"/>
        </w:rPr>
        <w:t xml:space="preserve">a </w:t>
      </w:r>
      <w:r w:rsidR="00C958EE" w:rsidRPr="002505FA">
        <w:rPr>
          <w:rFonts w:ascii="Times New Roman" w:hAnsi="Times New Roman" w:cs="Times New Roman"/>
          <w:sz w:val="24"/>
          <w:szCs w:val="24"/>
        </w:rPr>
        <w:t xml:space="preserve">dodatne edukacije </w:t>
      </w:r>
      <w:r w:rsidR="00020497">
        <w:rPr>
          <w:rFonts w:ascii="Times New Roman" w:hAnsi="Times New Roman" w:cs="Times New Roman"/>
          <w:sz w:val="24"/>
          <w:szCs w:val="24"/>
        </w:rPr>
        <w:t>zaposlenika</w:t>
      </w:r>
      <w:r w:rsidR="00C958EE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020497">
        <w:rPr>
          <w:rFonts w:ascii="Times New Roman" w:hAnsi="Times New Roman" w:cs="Times New Roman"/>
          <w:sz w:val="24"/>
          <w:szCs w:val="24"/>
        </w:rPr>
        <w:t>nužnih za</w:t>
      </w:r>
      <w:r w:rsidR="00020497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C958EE" w:rsidRPr="002505FA">
        <w:rPr>
          <w:rFonts w:ascii="Times New Roman" w:hAnsi="Times New Roman" w:cs="Times New Roman"/>
          <w:sz w:val="24"/>
          <w:szCs w:val="24"/>
        </w:rPr>
        <w:lastRenderedPageBreak/>
        <w:t>praćenj</w:t>
      </w:r>
      <w:r w:rsidR="00020497">
        <w:rPr>
          <w:rFonts w:ascii="Times New Roman" w:hAnsi="Times New Roman" w:cs="Times New Roman"/>
          <w:sz w:val="24"/>
          <w:szCs w:val="24"/>
        </w:rPr>
        <w:t>e</w:t>
      </w:r>
      <w:r w:rsidR="00C958EE" w:rsidRPr="002505FA">
        <w:rPr>
          <w:rFonts w:ascii="Times New Roman" w:hAnsi="Times New Roman" w:cs="Times New Roman"/>
          <w:sz w:val="24"/>
          <w:szCs w:val="24"/>
        </w:rPr>
        <w:t xml:space="preserve"> tehnoloških zahtjeva projekata suradnje između EUIPO-a i DZIV-a</w:t>
      </w:r>
      <w:r w:rsidR="00020497">
        <w:rPr>
          <w:rFonts w:ascii="Times New Roman" w:hAnsi="Times New Roman" w:cs="Times New Roman"/>
          <w:sz w:val="24"/>
          <w:szCs w:val="24"/>
        </w:rPr>
        <w:t xml:space="preserve"> </w:t>
      </w:r>
      <w:r w:rsidR="00020497" w:rsidRPr="002505FA">
        <w:rPr>
          <w:rFonts w:ascii="Times New Roman" w:hAnsi="Times New Roman" w:cs="Times New Roman"/>
          <w:sz w:val="24"/>
          <w:szCs w:val="24"/>
        </w:rPr>
        <w:t xml:space="preserve">(uvođenje i održavanje </w:t>
      </w:r>
      <w:r w:rsidR="00020497">
        <w:rPr>
          <w:rFonts w:ascii="Times New Roman" w:hAnsi="Times New Roman" w:cs="Times New Roman"/>
          <w:sz w:val="24"/>
          <w:szCs w:val="24"/>
        </w:rPr>
        <w:t>sustava</w:t>
      </w:r>
      <w:r w:rsidR="00020497" w:rsidRPr="002505FA">
        <w:rPr>
          <w:rFonts w:ascii="Times New Roman" w:hAnsi="Times New Roman" w:cs="Times New Roman"/>
          <w:sz w:val="24"/>
          <w:szCs w:val="24"/>
        </w:rPr>
        <w:t>)</w:t>
      </w:r>
      <w:r w:rsidR="00C958EE" w:rsidRPr="002505FA">
        <w:rPr>
          <w:rFonts w:ascii="Times New Roman" w:hAnsi="Times New Roman" w:cs="Times New Roman"/>
          <w:sz w:val="24"/>
          <w:szCs w:val="24"/>
        </w:rPr>
        <w:t xml:space="preserve">. </w:t>
      </w:r>
      <w:r w:rsidR="00571253" w:rsidRPr="002505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2E311" w14:textId="77777777" w:rsidR="00571253" w:rsidRPr="002505FA" w:rsidRDefault="00571253" w:rsidP="009919D6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516"/>
        <w:gridCol w:w="1604"/>
        <w:gridCol w:w="1604"/>
        <w:gridCol w:w="1604"/>
        <w:gridCol w:w="1604"/>
        <w:gridCol w:w="1604"/>
        <w:gridCol w:w="670"/>
      </w:tblGrid>
      <w:tr w:rsidR="009A1A1A" w:rsidRPr="002505FA" w14:paraId="2B4478DC" w14:textId="77777777" w:rsidTr="006357A5">
        <w:trPr>
          <w:jc w:val="center"/>
        </w:trPr>
        <w:tc>
          <w:tcPr>
            <w:tcW w:w="1530" w:type="dxa"/>
            <w:shd w:val="clear" w:color="auto" w:fill="B5C0D8"/>
          </w:tcPr>
          <w:p w14:paraId="695DE781" w14:textId="77777777" w:rsidR="0088128F" w:rsidRPr="002505FA" w:rsidRDefault="0088128F" w:rsidP="00E018D6">
            <w:pPr>
              <w:jc w:val="both"/>
              <w:rPr>
                <w:rFonts w:cs="Times New Roman"/>
              </w:rPr>
            </w:pPr>
          </w:p>
          <w:p w14:paraId="6F76C9C1" w14:textId="77777777" w:rsidR="00BB70BF" w:rsidRPr="002505FA" w:rsidRDefault="00BB70BF" w:rsidP="007F610C">
            <w:pPr>
              <w:jc w:val="both"/>
              <w:rPr>
                <w:rFonts w:cs="Times New Roman"/>
              </w:rPr>
            </w:pPr>
          </w:p>
        </w:tc>
        <w:tc>
          <w:tcPr>
            <w:tcW w:w="1632" w:type="dxa"/>
            <w:shd w:val="clear" w:color="auto" w:fill="B5C0D8"/>
          </w:tcPr>
          <w:p w14:paraId="3B26D871" w14:textId="36560250" w:rsidR="00BB70BF" w:rsidRPr="002505FA" w:rsidRDefault="00BB70BF" w:rsidP="007F610C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Izvršenje 202</w:t>
            </w:r>
            <w:r w:rsidR="004A3D7D" w:rsidRPr="002505FA">
              <w:rPr>
                <w:rFonts w:cs="Times New Roman"/>
              </w:rPr>
              <w:t>2</w:t>
            </w:r>
            <w:r w:rsidRPr="002505FA">
              <w:rPr>
                <w:rFonts w:cs="Times New Roman"/>
              </w:rPr>
              <w:t>.</w:t>
            </w:r>
          </w:p>
        </w:tc>
        <w:tc>
          <w:tcPr>
            <w:tcW w:w="1632" w:type="dxa"/>
            <w:shd w:val="clear" w:color="auto" w:fill="B5C0D8"/>
          </w:tcPr>
          <w:p w14:paraId="5C4A2D1B" w14:textId="4A651ACE" w:rsidR="00BB70BF" w:rsidRPr="002505FA" w:rsidRDefault="00BB70BF" w:rsidP="007F610C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Plan 202</w:t>
            </w:r>
            <w:r w:rsidR="004A3D7D" w:rsidRPr="002505FA">
              <w:rPr>
                <w:rFonts w:cs="Times New Roman"/>
              </w:rPr>
              <w:t>3</w:t>
            </w:r>
            <w:r w:rsidRPr="002505FA">
              <w:rPr>
                <w:rFonts w:cs="Times New Roman"/>
              </w:rPr>
              <w:t>.</w:t>
            </w:r>
          </w:p>
        </w:tc>
        <w:tc>
          <w:tcPr>
            <w:tcW w:w="1632" w:type="dxa"/>
            <w:shd w:val="clear" w:color="auto" w:fill="B5C0D8"/>
          </w:tcPr>
          <w:p w14:paraId="24B15EA5" w14:textId="6B001F9D" w:rsidR="00BB70BF" w:rsidRPr="002505FA" w:rsidRDefault="00BB70BF" w:rsidP="007F610C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Plan 202</w:t>
            </w:r>
            <w:r w:rsidR="004A3D7D" w:rsidRPr="002505FA">
              <w:rPr>
                <w:rFonts w:cs="Times New Roman"/>
              </w:rPr>
              <w:t>4</w:t>
            </w:r>
            <w:r w:rsidRPr="002505FA">
              <w:rPr>
                <w:rFonts w:cs="Times New Roman"/>
              </w:rPr>
              <w:t>.</w:t>
            </w:r>
          </w:p>
        </w:tc>
        <w:tc>
          <w:tcPr>
            <w:tcW w:w="1632" w:type="dxa"/>
            <w:shd w:val="clear" w:color="auto" w:fill="B5C0D8"/>
          </w:tcPr>
          <w:p w14:paraId="4388A0C1" w14:textId="19FC6A67" w:rsidR="00BB70BF" w:rsidRPr="002505FA" w:rsidRDefault="00BB70BF" w:rsidP="007F610C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Plan 202</w:t>
            </w:r>
            <w:r w:rsidR="004A3D7D" w:rsidRPr="002505FA">
              <w:rPr>
                <w:rFonts w:cs="Times New Roman"/>
              </w:rPr>
              <w:t>5</w:t>
            </w:r>
            <w:r w:rsidRPr="002505FA">
              <w:rPr>
                <w:rFonts w:cs="Times New Roman"/>
              </w:rPr>
              <w:t>.</w:t>
            </w:r>
          </w:p>
        </w:tc>
        <w:tc>
          <w:tcPr>
            <w:tcW w:w="1632" w:type="dxa"/>
            <w:shd w:val="clear" w:color="auto" w:fill="B5C0D8"/>
          </w:tcPr>
          <w:p w14:paraId="6B8BEA85" w14:textId="78D93761" w:rsidR="00BB70BF" w:rsidRPr="002505FA" w:rsidRDefault="00BB70BF" w:rsidP="007F610C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Plan 202</w:t>
            </w:r>
            <w:r w:rsidR="004A3D7D" w:rsidRPr="002505FA">
              <w:rPr>
                <w:rFonts w:cs="Times New Roman"/>
              </w:rPr>
              <w:t>6</w:t>
            </w:r>
            <w:r w:rsidRPr="002505FA">
              <w:rPr>
                <w:rFonts w:cs="Times New Roman"/>
              </w:rPr>
              <w:t>.</w:t>
            </w:r>
          </w:p>
        </w:tc>
        <w:tc>
          <w:tcPr>
            <w:tcW w:w="510" w:type="dxa"/>
            <w:shd w:val="clear" w:color="auto" w:fill="B5C0D8"/>
          </w:tcPr>
          <w:p w14:paraId="71B0EB6C" w14:textId="7B222745" w:rsidR="00BB70BF" w:rsidRPr="002505FA" w:rsidRDefault="00BB70BF" w:rsidP="007F610C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 xml:space="preserve">Indeks </w:t>
            </w:r>
            <w:r w:rsidR="0088128F" w:rsidRPr="002505FA">
              <w:rPr>
                <w:rFonts w:cs="Times New Roman"/>
              </w:rPr>
              <w:t>2</w:t>
            </w:r>
            <w:r w:rsidR="004A3D7D" w:rsidRPr="002505FA">
              <w:rPr>
                <w:rFonts w:cs="Times New Roman"/>
              </w:rPr>
              <w:t>4</w:t>
            </w:r>
            <w:r w:rsidR="0088128F" w:rsidRPr="002505FA">
              <w:rPr>
                <w:rFonts w:cs="Times New Roman"/>
              </w:rPr>
              <w:t>./2</w:t>
            </w:r>
            <w:r w:rsidR="004A3D7D" w:rsidRPr="002505FA">
              <w:rPr>
                <w:rFonts w:cs="Times New Roman"/>
              </w:rPr>
              <w:t>3</w:t>
            </w:r>
            <w:r w:rsidR="0088128F" w:rsidRPr="002505FA">
              <w:rPr>
                <w:rFonts w:cs="Times New Roman"/>
              </w:rPr>
              <w:t>.</w:t>
            </w:r>
          </w:p>
        </w:tc>
      </w:tr>
      <w:tr w:rsidR="007F610C" w:rsidRPr="002505FA" w14:paraId="04A085D4" w14:textId="77777777" w:rsidTr="006357A5">
        <w:trPr>
          <w:jc w:val="center"/>
        </w:trPr>
        <w:tc>
          <w:tcPr>
            <w:tcW w:w="1530" w:type="dxa"/>
          </w:tcPr>
          <w:p w14:paraId="7CDD55AD" w14:textId="426D8048" w:rsidR="00BB70BF" w:rsidRPr="002505FA" w:rsidRDefault="00BB70BF" w:rsidP="007F610C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08012</w:t>
            </w:r>
            <w:r w:rsidR="00AD402D" w:rsidRPr="002505FA">
              <w:rPr>
                <w:rFonts w:cs="Times New Roman"/>
              </w:rPr>
              <w:t xml:space="preserve"> Državni zavod za intelektualno vlasništvo</w:t>
            </w:r>
          </w:p>
        </w:tc>
        <w:tc>
          <w:tcPr>
            <w:tcW w:w="1632" w:type="dxa"/>
          </w:tcPr>
          <w:p w14:paraId="522CD22C" w14:textId="2F5635A4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3.032.743</w:t>
            </w:r>
          </w:p>
        </w:tc>
        <w:tc>
          <w:tcPr>
            <w:tcW w:w="1632" w:type="dxa"/>
          </w:tcPr>
          <w:p w14:paraId="1C87B36F" w14:textId="26472852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3.987.693</w:t>
            </w:r>
          </w:p>
        </w:tc>
        <w:tc>
          <w:tcPr>
            <w:tcW w:w="1632" w:type="dxa"/>
          </w:tcPr>
          <w:p w14:paraId="1CFB6DD0" w14:textId="792A97F2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4.637.560</w:t>
            </w:r>
          </w:p>
        </w:tc>
        <w:tc>
          <w:tcPr>
            <w:tcW w:w="1632" w:type="dxa"/>
          </w:tcPr>
          <w:p w14:paraId="74B078C9" w14:textId="3C244AF6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4.506.412</w:t>
            </w:r>
          </w:p>
        </w:tc>
        <w:tc>
          <w:tcPr>
            <w:tcW w:w="1632" w:type="dxa"/>
          </w:tcPr>
          <w:p w14:paraId="3116A803" w14:textId="3AF6B688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4.513.173</w:t>
            </w:r>
          </w:p>
        </w:tc>
        <w:tc>
          <w:tcPr>
            <w:tcW w:w="510" w:type="dxa"/>
          </w:tcPr>
          <w:p w14:paraId="4D3851A2" w14:textId="5807D580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</w:tr>
    </w:tbl>
    <w:p w14:paraId="1D3ABE8E" w14:textId="77777777" w:rsidR="00BB70BF" w:rsidRPr="002505FA" w:rsidRDefault="00BB70BF" w:rsidP="007F610C">
      <w:pPr>
        <w:jc w:val="both"/>
        <w:rPr>
          <w:rFonts w:ascii="Times New Roman" w:hAnsi="Times New Roman" w:cs="Times New Roman"/>
        </w:rPr>
      </w:pPr>
    </w:p>
    <w:p w14:paraId="2530F1B6" w14:textId="77777777" w:rsidR="000060DD" w:rsidRPr="002505FA" w:rsidRDefault="000060DD" w:rsidP="00F51C89">
      <w:pPr>
        <w:jc w:val="both"/>
        <w:rPr>
          <w:rFonts w:ascii="Times New Roman" w:hAnsi="Times New Roman" w:cs="Times New Roman"/>
        </w:rPr>
      </w:pPr>
    </w:p>
    <w:p w14:paraId="61B58910" w14:textId="77777777" w:rsidR="00021B5C" w:rsidRPr="002505FA" w:rsidRDefault="00021B5C" w:rsidP="00F51C89">
      <w:pPr>
        <w:jc w:val="both"/>
        <w:rPr>
          <w:rFonts w:ascii="Times New Roman" w:hAnsi="Times New Roman" w:cs="Times New Roman"/>
        </w:rPr>
      </w:pPr>
    </w:p>
    <w:p w14:paraId="71AD0B53" w14:textId="77777777" w:rsidR="00BB70BF" w:rsidRPr="002505FA" w:rsidRDefault="00BB70BF" w:rsidP="007F610C">
      <w:pPr>
        <w:pStyle w:val="Heading3"/>
        <w:rPr>
          <w:rFonts w:cs="Times New Roman"/>
          <w:lang w:val="hr-HR"/>
        </w:rPr>
      </w:pPr>
      <w:r w:rsidRPr="002505FA">
        <w:rPr>
          <w:rFonts w:cs="Times New Roman"/>
          <w:lang w:val="hr-HR"/>
        </w:rPr>
        <w:t>3801 ULAGANJE U ZNANSTVENO ISTRAŽIVAČKU DJELATNOST</w:t>
      </w:r>
    </w:p>
    <w:p w14:paraId="0C5822A0" w14:textId="77777777" w:rsidR="00021B5C" w:rsidRPr="002505FA" w:rsidRDefault="00021B5C" w:rsidP="00F815A6">
      <w:pPr>
        <w:jc w:val="both"/>
        <w:rPr>
          <w:rFonts w:ascii="Times New Roman" w:hAnsi="Times New Roman" w:cs="Times New Roman"/>
        </w:rPr>
      </w:pP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500"/>
        <w:gridCol w:w="1608"/>
        <w:gridCol w:w="1600"/>
        <w:gridCol w:w="1600"/>
        <w:gridCol w:w="1600"/>
        <w:gridCol w:w="1600"/>
        <w:gridCol w:w="698"/>
      </w:tblGrid>
      <w:tr w:rsidR="004A3D7D" w:rsidRPr="002505FA" w14:paraId="455B58AF" w14:textId="77777777" w:rsidTr="004A3D7D">
        <w:trPr>
          <w:jc w:val="center"/>
        </w:trPr>
        <w:tc>
          <w:tcPr>
            <w:tcW w:w="1500" w:type="dxa"/>
            <w:shd w:val="clear" w:color="auto" w:fill="B5C0D8"/>
          </w:tcPr>
          <w:p w14:paraId="2C35189C" w14:textId="77777777" w:rsidR="004A3D7D" w:rsidRPr="002505FA" w:rsidRDefault="004A3D7D" w:rsidP="004A3D7D">
            <w:pPr>
              <w:jc w:val="both"/>
              <w:rPr>
                <w:rFonts w:cs="Times New Roman"/>
              </w:rPr>
            </w:pPr>
          </w:p>
          <w:p w14:paraId="169862C5" w14:textId="77777777" w:rsidR="004A3D7D" w:rsidRPr="002505FA" w:rsidRDefault="004A3D7D" w:rsidP="004A3D7D">
            <w:pPr>
              <w:jc w:val="both"/>
              <w:rPr>
                <w:rFonts w:cs="Times New Roman"/>
              </w:rPr>
            </w:pPr>
          </w:p>
        </w:tc>
        <w:tc>
          <w:tcPr>
            <w:tcW w:w="1608" w:type="dxa"/>
            <w:shd w:val="clear" w:color="auto" w:fill="B5C0D8"/>
          </w:tcPr>
          <w:p w14:paraId="6F11DD88" w14:textId="362EC179" w:rsidR="004A3D7D" w:rsidRPr="002505FA" w:rsidRDefault="004A3D7D" w:rsidP="004A3D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Izvršenje 2022.</w:t>
            </w:r>
          </w:p>
        </w:tc>
        <w:tc>
          <w:tcPr>
            <w:tcW w:w="1600" w:type="dxa"/>
            <w:shd w:val="clear" w:color="auto" w:fill="B5C0D8"/>
          </w:tcPr>
          <w:p w14:paraId="1B6C8C91" w14:textId="1DF67F44" w:rsidR="004A3D7D" w:rsidRPr="002505FA" w:rsidRDefault="004A3D7D" w:rsidP="004A3D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Plan 2023.</w:t>
            </w:r>
          </w:p>
        </w:tc>
        <w:tc>
          <w:tcPr>
            <w:tcW w:w="1600" w:type="dxa"/>
            <w:shd w:val="clear" w:color="auto" w:fill="B5C0D8"/>
          </w:tcPr>
          <w:p w14:paraId="2E59485B" w14:textId="1E971E35" w:rsidR="004A3D7D" w:rsidRPr="002505FA" w:rsidRDefault="004A3D7D" w:rsidP="004A3D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Plan 2024.</w:t>
            </w:r>
          </w:p>
        </w:tc>
        <w:tc>
          <w:tcPr>
            <w:tcW w:w="1600" w:type="dxa"/>
            <w:shd w:val="clear" w:color="auto" w:fill="B5C0D8"/>
          </w:tcPr>
          <w:p w14:paraId="32398EF2" w14:textId="7E3986A6" w:rsidR="004A3D7D" w:rsidRPr="002505FA" w:rsidRDefault="004A3D7D" w:rsidP="004A3D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Plan 2025.</w:t>
            </w:r>
          </w:p>
        </w:tc>
        <w:tc>
          <w:tcPr>
            <w:tcW w:w="1600" w:type="dxa"/>
            <w:shd w:val="clear" w:color="auto" w:fill="B5C0D8"/>
          </w:tcPr>
          <w:p w14:paraId="652DA31E" w14:textId="224C7938" w:rsidR="004A3D7D" w:rsidRPr="002505FA" w:rsidRDefault="004A3D7D" w:rsidP="004A3D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Plan 2026.</w:t>
            </w:r>
          </w:p>
        </w:tc>
        <w:tc>
          <w:tcPr>
            <w:tcW w:w="698" w:type="dxa"/>
            <w:shd w:val="clear" w:color="auto" w:fill="B5C0D8"/>
          </w:tcPr>
          <w:p w14:paraId="22D7A17F" w14:textId="4159FB06" w:rsidR="004A3D7D" w:rsidRPr="002505FA" w:rsidRDefault="004A3D7D" w:rsidP="004A3D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Indeks 24./23.</w:t>
            </w:r>
          </w:p>
        </w:tc>
      </w:tr>
      <w:tr w:rsidR="007F610C" w:rsidRPr="002505FA" w14:paraId="74651893" w14:textId="77777777" w:rsidTr="004A3D7D">
        <w:trPr>
          <w:jc w:val="center"/>
        </w:trPr>
        <w:tc>
          <w:tcPr>
            <w:tcW w:w="1500" w:type="dxa"/>
          </w:tcPr>
          <w:p w14:paraId="5C65F95B" w14:textId="77777777" w:rsidR="00BB70BF" w:rsidRPr="002505FA" w:rsidRDefault="00BB70BF" w:rsidP="007F610C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3801</w:t>
            </w:r>
          </w:p>
        </w:tc>
        <w:tc>
          <w:tcPr>
            <w:tcW w:w="1608" w:type="dxa"/>
          </w:tcPr>
          <w:p w14:paraId="4F1BF259" w14:textId="50C4CFB0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3.032.743</w:t>
            </w:r>
          </w:p>
        </w:tc>
        <w:tc>
          <w:tcPr>
            <w:tcW w:w="1600" w:type="dxa"/>
          </w:tcPr>
          <w:p w14:paraId="7E2D1572" w14:textId="767FCD10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3.987.693</w:t>
            </w:r>
          </w:p>
        </w:tc>
        <w:tc>
          <w:tcPr>
            <w:tcW w:w="1600" w:type="dxa"/>
          </w:tcPr>
          <w:p w14:paraId="229CC3CE" w14:textId="3EEEDEA7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4.637.560</w:t>
            </w:r>
          </w:p>
        </w:tc>
        <w:tc>
          <w:tcPr>
            <w:tcW w:w="1600" w:type="dxa"/>
          </w:tcPr>
          <w:p w14:paraId="73108662" w14:textId="7F4C8391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4.506.412</w:t>
            </w:r>
          </w:p>
        </w:tc>
        <w:tc>
          <w:tcPr>
            <w:tcW w:w="1600" w:type="dxa"/>
          </w:tcPr>
          <w:p w14:paraId="5C00418E" w14:textId="27761EC9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4.513.173</w:t>
            </w:r>
          </w:p>
        </w:tc>
        <w:tc>
          <w:tcPr>
            <w:tcW w:w="698" w:type="dxa"/>
          </w:tcPr>
          <w:p w14:paraId="10DFCA6B" w14:textId="13B998E3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</w:tr>
    </w:tbl>
    <w:p w14:paraId="16DA3C40" w14:textId="77777777" w:rsidR="00BB70BF" w:rsidRPr="002505FA" w:rsidRDefault="00BB70BF" w:rsidP="00EA20A0">
      <w:pPr>
        <w:pStyle w:val="Heading8"/>
        <w:rPr>
          <w:rFonts w:ascii="Times New Roman" w:hAnsi="Times New Roman" w:cs="Times New Roman"/>
          <w:b/>
          <w:sz w:val="24"/>
          <w:szCs w:val="24"/>
        </w:rPr>
      </w:pPr>
      <w:r w:rsidRPr="002505FA">
        <w:rPr>
          <w:rFonts w:ascii="Times New Roman" w:hAnsi="Times New Roman" w:cs="Times New Roman"/>
          <w:b/>
          <w:sz w:val="24"/>
          <w:szCs w:val="24"/>
        </w:rPr>
        <w:t>Cilj 1. Povećati kvalitetu i učinkovitost sustava zaštite prava industrijskog vlasništva</w:t>
      </w:r>
    </w:p>
    <w:p w14:paraId="4D461B98" w14:textId="77777777" w:rsidR="00BB70BF" w:rsidRPr="002505FA" w:rsidRDefault="00BB70BF" w:rsidP="00EA20A0">
      <w:pPr>
        <w:pStyle w:val="Heading8"/>
        <w:rPr>
          <w:rFonts w:ascii="Times New Roman" w:hAnsi="Times New Roman" w:cs="Times New Roman"/>
          <w:b/>
          <w:sz w:val="24"/>
          <w:szCs w:val="24"/>
        </w:rPr>
      </w:pPr>
      <w:r w:rsidRPr="002505FA">
        <w:rPr>
          <w:rFonts w:ascii="Times New Roman" w:hAnsi="Times New Roman" w:cs="Times New Roman"/>
          <w:b/>
          <w:sz w:val="24"/>
          <w:szCs w:val="24"/>
        </w:rPr>
        <w:t>Cilj 2. Povećati kvalitetu i učinkovitost sustava zaštite autorskih i srodnih prava</w:t>
      </w:r>
    </w:p>
    <w:p w14:paraId="159D86D7" w14:textId="1C91C769" w:rsidR="00BB70BF" w:rsidRPr="002505FA" w:rsidRDefault="00BB70BF" w:rsidP="00EA20A0">
      <w:pPr>
        <w:pStyle w:val="Heading8"/>
        <w:rPr>
          <w:rFonts w:ascii="Times New Roman" w:hAnsi="Times New Roman" w:cs="Times New Roman"/>
          <w:b/>
          <w:sz w:val="24"/>
          <w:szCs w:val="24"/>
        </w:rPr>
      </w:pPr>
      <w:r w:rsidRPr="002505FA">
        <w:rPr>
          <w:rFonts w:ascii="Times New Roman" w:hAnsi="Times New Roman" w:cs="Times New Roman"/>
          <w:b/>
          <w:sz w:val="24"/>
          <w:szCs w:val="24"/>
        </w:rPr>
        <w:t>Cilj 3. Povećati učinkovitost sustava provedbe prava intelektualnog vlasništva</w:t>
      </w:r>
    </w:p>
    <w:p w14:paraId="574A99CE" w14:textId="77777777" w:rsidR="00BB70BF" w:rsidRPr="002505FA" w:rsidRDefault="00BB70BF" w:rsidP="00EA20A0">
      <w:pPr>
        <w:pStyle w:val="Heading8"/>
        <w:rPr>
          <w:rFonts w:ascii="Times New Roman" w:hAnsi="Times New Roman" w:cs="Times New Roman"/>
          <w:b/>
          <w:sz w:val="24"/>
          <w:szCs w:val="24"/>
        </w:rPr>
      </w:pPr>
      <w:r w:rsidRPr="002505FA">
        <w:rPr>
          <w:rFonts w:ascii="Times New Roman" w:hAnsi="Times New Roman" w:cs="Times New Roman"/>
          <w:b/>
          <w:sz w:val="24"/>
          <w:szCs w:val="24"/>
        </w:rPr>
        <w:t>Cilj 4. Povećati stupanj korištenja sustava zaštite intelektualnog vlasništva od strane domaćih subjekata</w:t>
      </w:r>
    </w:p>
    <w:p w14:paraId="33626A57" w14:textId="77777777" w:rsidR="00021B5C" w:rsidRPr="002505FA" w:rsidRDefault="00021B5C" w:rsidP="00021B5C">
      <w:pPr>
        <w:rPr>
          <w:rFonts w:ascii="Times New Roman" w:hAnsi="Times New Roman" w:cs="Times New Roman"/>
          <w:b/>
        </w:rPr>
      </w:pPr>
    </w:p>
    <w:p w14:paraId="63FB5A69" w14:textId="77777777" w:rsidR="00BB70BF" w:rsidRPr="002505FA" w:rsidRDefault="00BB70BF" w:rsidP="00EA20A0">
      <w:pPr>
        <w:pStyle w:val="Heading8"/>
        <w:rPr>
          <w:rFonts w:ascii="Times New Roman" w:hAnsi="Times New Roman" w:cs="Times New Roman"/>
          <w:b/>
          <w:sz w:val="24"/>
          <w:szCs w:val="24"/>
        </w:rPr>
      </w:pPr>
      <w:r w:rsidRPr="002505FA">
        <w:rPr>
          <w:rFonts w:ascii="Times New Roman" w:hAnsi="Times New Roman" w:cs="Times New Roman"/>
          <w:b/>
          <w:sz w:val="24"/>
          <w:szCs w:val="24"/>
        </w:rP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162"/>
        <w:gridCol w:w="2181"/>
        <w:gridCol w:w="1025"/>
        <w:gridCol w:w="1103"/>
        <w:gridCol w:w="981"/>
        <w:gridCol w:w="918"/>
        <w:gridCol w:w="918"/>
        <w:gridCol w:w="918"/>
      </w:tblGrid>
      <w:tr w:rsidR="009A1A1A" w:rsidRPr="002505FA" w14:paraId="3A870019" w14:textId="77777777" w:rsidTr="006357A5">
        <w:trPr>
          <w:jc w:val="center"/>
        </w:trPr>
        <w:tc>
          <w:tcPr>
            <w:tcW w:w="2162" w:type="dxa"/>
            <w:shd w:val="clear" w:color="auto" w:fill="B5C0D8"/>
          </w:tcPr>
          <w:p w14:paraId="3CC86189" w14:textId="77777777" w:rsidR="00BB70BF" w:rsidRPr="002505FA" w:rsidRDefault="00BB70BF" w:rsidP="00EA20A0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Pokazatelj učinka</w:t>
            </w:r>
          </w:p>
        </w:tc>
        <w:tc>
          <w:tcPr>
            <w:tcW w:w="2181" w:type="dxa"/>
            <w:shd w:val="clear" w:color="auto" w:fill="B5C0D8"/>
          </w:tcPr>
          <w:p w14:paraId="6E52941E" w14:textId="77777777" w:rsidR="00BB70BF" w:rsidRPr="002505FA" w:rsidRDefault="00BB70BF" w:rsidP="00EA20A0">
            <w:pPr>
              <w:pStyle w:val="CellHeader"/>
              <w:jc w:val="center"/>
              <w:rPr>
                <w:rFonts w:cs="Times New Roman"/>
                <w:lang w:val="hr-HR"/>
              </w:rPr>
            </w:pPr>
            <w:r w:rsidRPr="002505FA">
              <w:rPr>
                <w:rFonts w:cs="Times New Roman"/>
                <w:lang w:val="hr-HR"/>
              </w:rPr>
              <w:t>Definicija</w:t>
            </w:r>
          </w:p>
        </w:tc>
        <w:tc>
          <w:tcPr>
            <w:tcW w:w="1025" w:type="dxa"/>
            <w:shd w:val="clear" w:color="auto" w:fill="B5C0D8"/>
          </w:tcPr>
          <w:p w14:paraId="71092A72" w14:textId="77777777" w:rsidR="00BB70BF" w:rsidRPr="002505FA" w:rsidRDefault="00BB70BF" w:rsidP="00EA20A0">
            <w:pPr>
              <w:pStyle w:val="CellHeader"/>
              <w:jc w:val="center"/>
              <w:rPr>
                <w:rFonts w:cs="Times New Roman"/>
                <w:lang w:val="hr-HR"/>
              </w:rPr>
            </w:pPr>
            <w:r w:rsidRPr="002505FA">
              <w:rPr>
                <w:rFonts w:cs="Times New Roman"/>
                <w:lang w:val="hr-HR"/>
              </w:rPr>
              <w:t>Jedinica</w:t>
            </w:r>
          </w:p>
        </w:tc>
        <w:tc>
          <w:tcPr>
            <w:tcW w:w="1103" w:type="dxa"/>
            <w:shd w:val="clear" w:color="auto" w:fill="B5C0D8"/>
          </w:tcPr>
          <w:p w14:paraId="07AE58D2" w14:textId="77777777" w:rsidR="00BB70BF" w:rsidRPr="002505FA" w:rsidRDefault="00BB70BF" w:rsidP="00EA20A0">
            <w:pPr>
              <w:pStyle w:val="CellHeader"/>
              <w:jc w:val="center"/>
              <w:rPr>
                <w:rFonts w:cs="Times New Roman"/>
                <w:lang w:val="hr-HR"/>
              </w:rPr>
            </w:pPr>
            <w:r w:rsidRPr="002505FA">
              <w:rPr>
                <w:rFonts w:cs="Times New Roman"/>
                <w:lang w:val="hr-HR"/>
              </w:rPr>
              <w:t>Polazna vrijednost</w:t>
            </w:r>
          </w:p>
        </w:tc>
        <w:tc>
          <w:tcPr>
            <w:tcW w:w="981" w:type="dxa"/>
            <w:shd w:val="clear" w:color="auto" w:fill="B5C0D8"/>
          </w:tcPr>
          <w:p w14:paraId="46921813" w14:textId="77777777" w:rsidR="00BB70BF" w:rsidRPr="002505FA" w:rsidRDefault="00BB70BF" w:rsidP="00EA20A0">
            <w:pPr>
              <w:pStyle w:val="CellHeader"/>
              <w:jc w:val="center"/>
              <w:rPr>
                <w:rFonts w:cs="Times New Roman"/>
                <w:lang w:val="hr-HR"/>
              </w:rPr>
            </w:pPr>
            <w:r w:rsidRPr="002505FA">
              <w:rPr>
                <w:rFonts w:cs="Times New Roman"/>
                <w:lang w:val="hr-HR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14:paraId="6DB27C0C" w14:textId="435EBA19" w:rsidR="00BB70BF" w:rsidRPr="002505FA" w:rsidRDefault="00BB70BF" w:rsidP="00EA20A0">
            <w:pPr>
              <w:pStyle w:val="CellHeader"/>
              <w:jc w:val="center"/>
              <w:rPr>
                <w:rFonts w:cs="Times New Roman"/>
                <w:lang w:val="hr-HR"/>
              </w:rPr>
            </w:pPr>
            <w:r w:rsidRPr="002505FA">
              <w:rPr>
                <w:rFonts w:cs="Times New Roman"/>
                <w:lang w:val="hr-HR"/>
              </w:rPr>
              <w:t>Ciljana vrijednost (202</w:t>
            </w:r>
            <w:r w:rsidR="00DF6413" w:rsidRPr="002505FA">
              <w:rPr>
                <w:rFonts w:cs="Times New Roman"/>
                <w:lang w:val="hr-HR"/>
              </w:rPr>
              <w:t>4</w:t>
            </w:r>
            <w:r w:rsidRPr="002505FA">
              <w:rPr>
                <w:rFonts w:cs="Times New Roman"/>
                <w:lang w:val="hr-HR"/>
              </w:rPr>
              <w:t>.)</w:t>
            </w:r>
          </w:p>
        </w:tc>
        <w:tc>
          <w:tcPr>
            <w:tcW w:w="918" w:type="dxa"/>
            <w:shd w:val="clear" w:color="auto" w:fill="B5C0D8"/>
          </w:tcPr>
          <w:p w14:paraId="734DCED1" w14:textId="7EB93116" w:rsidR="00BB70BF" w:rsidRPr="002505FA" w:rsidRDefault="00BB70BF" w:rsidP="00EA20A0">
            <w:pPr>
              <w:pStyle w:val="CellHeader"/>
              <w:jc w:val="center"/>
              <w:rPr>
                <w:rFonts w:cs="Times New Roman"/>
                <w:lang w:val="hr-HR"/>
              </w:rPr>
            </w:pPr>
            <w:r w:rsidRPr="002505FA">
              <w:rPr>
                <w:rFonts w:cs="Times New Roman"/>
                <w:lang w:val="hr-HR"/>
              </w:rPr>
              <w:t>Ciljana vrijednost (202</w:t>
            </w:r>
            <w:r w:rsidR="00DF6413" w:rsidRPr="002505FA">
              <w:rPr>
                <w:rFonts w:cs="Times New Roman"/>
                <w:lang w:val="hr-HR"/>
              </w:rPr>
              <w:t>5</w:t>
            </w:r>
            <w:r w:rsidRPr="002505FA">
              <w:rPr>
                <w:rFonts w:cs="Times New Roman"/>
                <w:lang w:val="hr-HR"/>
              </w:rPr>
              <w:t>.)</w:t>
            </w:r>
          </w:p>
        </w:tc>
        <w:tc>
          <w:tcPr>
            <w:tcW w:w="918" w:type="dxa"/>
            <w:shd w:val="clear" w:color="auto" w:fill="B5C0D8"/>
          </w:tcPr>
          <w:p w14:paraId="0B042EE0" w14:textId="249FB089" w:rsidR="00BB70BF" w:rsidRPr="002505FA" w:rsidRDefault="00BB70BF" w:rsidP="00EA20A0">
            <w:pPr>
              <w:pStyle w:val="CellHeader"/>
              <w:jc w:val="center"/>
              <w:rPr>
                <w:rFonts w:cs="Times New Roman"/>
                <w:lang w:val="hr-HR"/>
              </w:rPr>
            </w:pPr>
            <w:r w:rsidRPr="002505FA">
              <w:rPr>
                <w:rFonts w:cs="Times New Roman"/>
                <w:lang w:val="hr-HR"/>
              </w:rPr>
              <w:t>Ciljana vrijednost (202</w:t>
            </w:r>
            <w:r w:rsidR="00DF6413" w:rsidRPr="002505FA">
              <w:rPr>
                <w:rFonts w:cs="Times New Roman"/>
                <w:lang w:val="hr-HR"/>
              </w:rPr>
              <w:t>6</w:t>
            </w:r>
            <w:r w:rsidRPr="002505FA">
              <w:rPr>
                <w:rFonts w:cs="Times New Roman"/>
                <w:lang w:val="hr-HR"/>
              </w:rPr>
              <w:t>.)</w:t>
            </w:r>
          </w:p>
        </w:tc>
      </w:tr>
      <w:tr w:rsidR="009A1A1A" w:rsidRPr="002505FA" w14:paraId="1CD270AF" w14:textId="77777777" w:rsidTr="006357A5">
        <w:trPr>
          <w:jc w:val="center"/>
        </w:trPr>
        <w:tc>
          <w:tcPr>
            <w:tcW w:w="2162" w:type="dxa"/>
          </w:tcPr>
          <w:p w14:paraId="61964958" w14:textId="3F6BCFC3" w:rsidR="00623CB3" w:rsidRPr="002505FA" w:rsidRDefault="00BB70BF" w:rsidP="00E018D6">
            <w:pPr>
              <w:pStyle w:val="CellColumn"/>
              <w:jc w:val="left"/>
              <w:rPr>
                <w:rFonts w:cs="Times New Roman"/>
                <w:szCs w:val="20"/>
                <w:lang w:val="hr-HR"/>
              </w:rPr>
            </w:pPr>
            <w:r w:rsidRPr="002505FA">
              <w:rPr>
                <w:rFonts w:cs="Times New Roman"/>
                <w:lang w:val="hr-HR"/>
              </w:rPr>
              <w:lastRenderedPageBreak/>
              <w:t>Povećanje broja prijava industrijskog vlasništva u nacionalnom postupku (ukupno</w:t>
            </w:r>
            <w:r w:rsidR="000408D5">
              <w:rPr>
                <w:rFonts w:cs="Times New Roman"/>
                <w:lang w:val="hr-HR"/>
              </w:rPr>
              <w:t xml:space="preserve"> - kumulativ</w:t>
            </w:r>
            <w:r w:rsidRPr="002505FA">
              <w:rPr>
                <w:rFonts w:cs="Times New Roman"/>
                <w:lang w:val="hr-HR"/>
              </w:rPr>
              <w:t>)</w:t>
            </w:r>
          </w:p>
          <w:p w14:paraId="5D88A895" w14:textId="77777777" w:rsidR="00623CB3" w:rsidRPr="002505FA" w:rsidRDefault="00623CB3" w:rsidP="00E018D6">
            <w:pPr>
              <w:pStyle w:val="CellColumn"/>
              <w:jc w:val="left"/>
              <w:rPr>
                <w:rFonts w:cs="Times New Roman"/>
                <w:szCs w:val="20"/>
                <w:lang w:val="hr-HR"/>
              </w:rPr>
            </w:pPr>
          </w:p>
          <w:p w14:paraId="681B85D0" w14:textId="77777777" w:rsidR="00BB70BF" w:rsidRPr="002505FA" w:rsidRDefault="00BB70BF" w:rsidP="007F610C">
            <w:pPr>
              <w:pStyle w:val="CellColumn"/>
              <w:jc w:val="left"/>
              <w:rPr>
                <w:rFonts w:cs="Times New Roman"/>
                <w:lang w:val="hr-HR"/>
              </w:rPr>
            </w:pPr>
          </w:p>
        </w:tc>
        <w:tc>
          <w:tcPr>
            <w:tcW w:w="2181" w:type="dxa"/>
          </w:tcPr>
          <w:p w14:paraId="02E96863" w14:textId="77777777" w:rsidR="00BB70BF" w:rsidRPr="002505FA" w:rsidRDefault="00BB70BF" w:rsidP="007F610C">
            <w:pPr>
              <w:pStyle w:val="CellColumn"/>
              <w:jc w:val="left"/>
              <w:rPr>
                <w:rFonts w:cs="Times New Roman"/>
                <w:lang w:val="hr-HR"/>
              </w:rPr>
            </w:pPr>
            <w:r w:rsidRPr="002505FA">
              <w:rPr>
                <w:rFonts w:cs="Times New Roman"/>
                <w:lang w:val="hr-HR"/>
              </w:rPr>
              <w:t>Ukupni broj prijava za zaštitu patenata (nacionalne prijave, PCT prijave – nacionalna faza), žiga (nacionalne prijave) i industrijskog dizajna (nacionalne prijave) – ne uključuje prijave za jedinstvenu zaštitu na ukupnom teritoriju Europske unije (žig i registrirani dizajn Europske unije)</w:t>
            </w:r>
          </w:p>
        </w:tc>
        <w:tc>
          <w:tcPr>
            <w:tcW w:w="1025" w:type="dxa"/>
          </w:tcPr>
          <w:p w14:paraId="4F56600D" w14:textId="77777777" w:rsidR="00BB70BF" w:rsidRPr="002505FA" w:rsidRDefault="00BB70BF" w:rsidP="007F610C">
            <w:pPr>
              <w:rPr>
                <w:rFonts w:cs="Times New Roman"/>
                <w:highlight w:val="yellow"/>
              </w:rPr>
            </w:pPr>
            <w:r w:rsidRPr="002505FA">
              <w:rPr>
                <w:rFonts w:cs="Times New Roman"/>
              </w:rPr>
              <w:t>%</w:t>
            </w:r>
          </w:p>
        </w:tc>
        <w:tc>
          <w:tcPr>
            <w:tcW w:w="1103" w:type="dxa"/>
          </w:tcPr>
          <w:p w14:paraId="3FAFB482" w14:textId="61C3A02D" w:rsidR="00BB70BF" w:rsidRPr="00AD0E29" w:rsidRDefault="002505FA" w:rsidP="007F610C">
            <w:pPr>
              <w:spacing w:after="160" w:line="259" w:lineRule="auto"/>
              <w:rPr>
                <w:rFonts w:cs="Times New Roman"/>
              </w:rPr>
            </w:pPr>
            <w:r w:rsidRPr="00AD0E29">
              <w:rPr>
                <w:rFonts w:cs="Times New Roman"/>
              </w:rPr>
              <w:t>19</w:t>
            </w:r>
            <w:r w:rsidR="00AD0E29" w:rsidRPr="00AD0E29">
              <w:rPr>
                <w:rFonts w:cs="Times New Roman"/>
              </w:rPr>
              <w:t>4</w:t>
            </w:r>
            <w:r w:rsidRPr="00AD0E29">
              <w:rPr>
                <w:rFonts w:cs="Times New Roman"/>
              </w:rPr>
              <w:t>5</w:t>
            </w:r>
            <w:r w:rsidR="00BB70BF" w:rsidRPr="00AD0E29">
              <w:rPr>
                <w:rFonts w:cs="Times New Roman"/>
              </w:rPr>
              <w:t xml:space="preserve"> (202</w:t>
            </w:r>
            <w:r w:rsidR="005C65B0" w:rsidRPr="00AD0E29">
              <w:rPr>
                <w:rFonts w:cs="Times New Roman"/>
              </w:rPr>
              <w:t>2</w:t>
            </w:r>
            <w:r w:rsidR="00BB70BF" w:rsidRPr="00AD0E29">
              <w:rPr>
                <w:rFonts w:cs="Times New Roman"/>
              </w:rPr>
              <w:t>.)</w:t>
            </w:r>
          </w:p>
        </w:tc>
        <w:tc>
          <w:tcPr>
            <w:tcW w:w="981" w:type="dxa"/>
          </w:tcPr>
          <w:p w14:paraId="5EB84062" w14:textId="77777777" w:rsidR="00021B5C" w:rsidRPr="00AD0E29" w:rsidRDefault="00BB70BF" w:rsidP="00E018D6">
            <w:pPr>
              <w:pStyle w:val="CellColumn"/>
              <w:jc w:val="center"/>
              <w:rPr>
                <w:rFonts w:cs="Times New Roman"/>
                <w:szCs w:val="20"/>
                <w:lang w:val="hr-HR"/>
              </w:rPr>
            </w:pPr>
            <w:r w:rsidRPr="00AD0E29">
              <w:rPr>
                <w:rFonts w:cs="Times New Roman"/>
                <w:lang w:val="hr-HR"/>
              </w:rPr>
              <w:t>DZIV</w:t>
            </w:r>
          </w:p>
          <w:p w14:paraId="52ACAB47" w14:textId="77777777" w:rsidR="00BB70BF" w:rsidRPr="00AD0E29" w:rsidRDefault="00BB70BF" w:rsidP="007F610C">
            <w:pPr>
              <w:pStyle w:val="CellColumn"/>
              <w:jc w:val="center"/>
              <w:rPr>
                <w:rFonts w:cs="Times New Roman"/>
                <w:lang w:val="hr-HR"/>
              </w:rPr>
            </w:pPr>
          </w:p>
        </w:tc>
        <w:tc>
          <w:tcPr>
            <w:tcW w:w="918" w:type="dxa"/>
          </w:tcPr>
          <w:p w14:paraId="273153B4" w14:textId="3F9E92FB" w:rsidR="00BB70BF" w:rsidRDefault="00AA54EA" w:rsidP="007F610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B70BF" w:rsidRPr="00AD0E29">
              <w:rPr>
                <w:rFonts w:cs="Times New Roman"/>
              </w:rPr>
              <w:t>%</w:t>
            </w:r>
          </w:p>
          <w:p w14:paraId="4533AAA5" w14:textId="771D47AA" w:rsidR="00AA54EA" w:rsidRPr="00AD0E29" w:rsidRDefault="00AA54EA" w:rsidP="007F610C">
            <w:pPr>
              <w:rPr>
                <w:rFonts w:cs="Times New Roman"/>
              </w:rPr>
            </w:pPr>
          </w:p>
        </w:tc>
        <w:tc>
          <w:tcPr>
            <w:tcW w:w="918" w:type="dxa"/>
          </w:tcPr>
          <w:p w14:paraId="0B82BFA9" w14:textId="77777777" w:rsidR="00AA54EA" w:rsidRDefault="00BB70BF" w:rsidP="007F610C">
            <w:pPr>
              <w:rPr>
                <w:rFonts w:cs="Times New Roman"/>
              </w:rPr>
            </w:pPr>
            <w:r w:rsidRPr="00AD0E29">
              <w:rPr>
                <w:rFonts w:cs="Times New Roman"/>
              </w:rPr>
              <w:t>2%</w:t>
            </w:r>
            <w:r w:rsidR="00AA54EA">
              <w:rPr>
                <w:rFonts w:cs="Times New Roman"/>
              </w:rPr>
              <w:t xml:space="preserve"> </w:t>
            </w:r>
          </w:p>
          <w:p w14:paraId="6A264C56" w14:textId="5BD51B46" w:rsidR="00BB70BF" w:rsidRPr="00AD0E29" w:rsidRDefault="00BB70BF" w:rsidP="007F610C">
            <w:pPr>
              <w:rPr>
                <w:rFonts w:cs="Times New Roman"/>
              </w:rPr>
            </w:pPr>
          </w:p>
        </w:tc>
        <w:tc>
          <w:tcPr>
            <w:tcW w:w="918" w:type="dxa"/>
          </w:tcPr>
          <w:p w14:paraId="5231128E" w14:textId="77777777" w:rsidR="00AA54EA" w:rsidRDefault="00623CB3" w:rsidP="007F610C">
            <w:pPr>
              <w:rPr>
                <w:rFonts w:cs="Times New Roman"/>
                <w:szCs w:val="20"/>
              </w:rPr>
            </w:pPr>
            <w:r w:rsidRPr="00AD0E29">
              <w:rPr>
                <w:rFonts w:cs="Times New Roman"/>
                <w:szCs w:val="20"/>
              </w:rPr>
              <w:t>3</w:t>
            </w:r>
            <w:r w:rsidR="00021B5C" w:rsidRPr="00AD0E29">
              <w:rPr>
                <w:rFonts w:cs="Times New Roman"/>
                <w:szCs w:val="20"/>
              </w:rPr>
              <w:t>%</w:t>
            </w:r>
          </w:p>
          <w:p w14:paraId="5A4B7B9F" w14:textId="19844584" w:rsidR="00BB70BF" w:rsidRPr="00AD0E29" w:rsidRDefault="00BB70BF" w:rsidP="007F610C">
            <w:pPr>
              <w:rPr>
                <w:rFonts w:cs="Times New Roman"/>
              </w:rPr>
            </w:pPr>
          </w:p>
        </w:tc>
      </w:tr>
      <w:tr w:rsidR="009A1A1A" w:rsidRPr="002505FA" w14:paraId="180024A4" w14:textId="77777777" w:rsidTr="006357A5">
        <w:trPr>
          <w:jc w:val="center"/>
        </w:trPr>
        <w:tc>
          <w:tcPr>
            <w:tcW w:w="2162" w:type="dxa"/>
          </w:tcPr>
          <w:p w14:paraId="5039AEF5" w14:textId="7BCA305F" w:rsidR="00BB70BF" w:rsidRPr="002505FA" w:rsidRDefault="00BB70BF" w:rsidP="007F610C">
            <w:pPr>
              <w:pStyle w:val="CellColumn"/>
              <w:jc w:val="left"/>
              <w:rPr>
                <w:rFonts w:cs="Times New Roman"/>
                <w:lang w:val="hr-HR"/>
              </w:rPr>
            </w:pPr>
            <w:r w:rsidRPr="002505FA">
              <w:rPr>
                <w:rFonts w:cs="Times New Roman"/>
                <w:lang w:val="hr-HR"/>
              </w:rPr>
              <w:t>Povećanje vrijednosti Globalnog inovacijskog indeksa Hrvatske u kategorijama rezultata inovacijskih i kreativnih  djelatnosti koji uključuju prava intelektualnog vlasništva (zbroj vrijednosti par</w:t>
            </w:r>
            <w:r w:rsidR="00DF6413" w:rsidRPr="002505FA">
              <w:rPr>
                <w:rFonts w:cs="Times New Roman"/>
                <w:lang w:val="hr-HR"/>
              </w:rPr>
              <w:t>a</w:t>
            </w:r>
            <w:r w:rsidRPr="002505FA">
              <w:rPr>
                <w:rFonts w:cs="Times New Roman"/>
                <w:lang w:val="hr-HR"/>
              </w:rPr>
              <w:t>metara)</w:t>
            </w:r>
          </w:p>
        </w:tc>
        <w:tc>
          <w:tcPr>
            <w:tcW w:w="2181" w:type="dxa"/>
          </w:tcPr>
          <w:p w14:paraId="4FF9CE7C" w14:textId="110FE07D" w:rsidR="00BB70BF" w:rsidRPr="002505FA" w:rsidRDefault="00BB70BF" w:rsidP="007F610C">
            <w:pPr>
              <w:pStyle w:val="CellColumn"/>
              <w:jc w:val="left"/>
              <w:rPr>
                <w:rFonts w:cs="Times New Roman"/>
                <w:lang w:val="hr-HR"/>
              </w:rPr>
            </w:pPr>
            <w:r w:rsidRPr="002505FA">
              <w:rPr>
                <w:rFonts w:cs="Times New Roman"/>
                <w:lang w:val="hr-HR"/>
              </w:rPr>
              <w:t>-</w:t>
            </w:r>
            <w:r w:rsidRPr="002505FA">
              <w:rPr>
                <w:rFonts w:cs="Times New Roman"/>
                <w:lang w:val="hr-HR"/>
              </w:rPr>
              <w:tab/>
              <w:t>Rezultati u području znanja i tehnologije (</w:t>
            </w:r>
            <w:proofErr w:type="spellStart"/>
            <w:r w:rsidRPr="002505FA">
              <w:rPr>
                <w:rFonts w:cs="Times New Roman"/>
                <w:lang w:val="hr-HR"/>
              </w:rPr>
              <w:t>Knowledge</w:t>
            </w:r>
            <w:proofErr w:type="spellEnd"/>
            <w:r w:rsidRPr="002505FA">
              <w:rPr>
                <w:rFonts w:cs="Times New Roman"/>
                <w:lang w:val="hr-HR"/>
              </w:rPr>
              <w:t xml:space="preserve"> </w:t>
            </w:r>
            <w:proofErr w:type="spellStart"/>
            <w:r w:rsidRPr="002505FA">
              <w:rPr>
                <w:rFonts w:cs="Times New Roman"/>
                <w:lang w:val="hr-HR"/>
              </w:rPr>
              <w:t>and</w:t>
            </w:r>
            <w:proofErr w:type="spellEnd"/>
            <w:r w:rsidRPr="002505FA">
              <w:rPr>
                <w:rFonts w:cs="Times New Roman"/>
                <w:lang w:val="hr-HR"/>
              </w:rPr>
              <w:t xml:space="preserve"> </w:t>
            </w:r>
            <w:proofErr w:type="spellStart"/>
            <w:r w:rsidRPr="002505FA">
              <w:rPr>
                <w:rFonts w:cs="Times New Roman"/>
                <w:lang w:val="hr-HR"/>
              </w:rPr>
              <w:t>technology</w:t>
            </w:r>
            <w:proofErr w:type="spellEnd"/>
            <w:r w:rsidRPr="002505FA">
              <w:rPr>
                <w:rFonts w:cs="Times New Roman"/>
                <w:lang w:val="hr-HR"/>
              </w:rPr>
              <w:t xml:space="preserve"> </w:t>
            </w:r>
            <w:proofErr w:type="spellStart"/>
            <w:r w:rsidRPr="002505FA">
              <w:rPr>
                <w:rFonts w:cs="Times New Roman"/>
                <w:lang w:val="hr-HR"/>
              </w:rPr>
              <w:t>outputs</w:t>
            </w:r>
            <w:proofErr w:type="spellEnd"/>
            <w:r w:rsidRPr="002505FA">
              <w:rPr>
                <w:rFonts w:cs="Times New Roman"/>
                <w:lang w:val="hr-HR"/>
              </w:rPr>
              <w:t xml:space="preserve">) </w:t>
            </w:r>
          </w:p>
          <w:p w14:paraId="3D7350F3" w14:textId="77777777" w:rsidR="00BB70BF" w:rsidRPr="002505FA" w:rsidRDefault="00BB70BF" w:rsidP="007F610C">
            <w:pPr>
              <w:pStyle w:val="CellColumn"/>
              <w:jc w:val="left"/>
              <w:rPr>
                <w:rFonts w:cs="Times New Roman"/>
                <w:lang w:val="hr-HR"/>
              </w:rPr>
            </w:pPr>
            <w:r w:rsidRPr="002505FA">
              <w:rPr>
                <w:rFonts w:cs="Times New Roman"/>
                <w:lang w:val="hr-HR"/>
              </w:rPr>
              <w:t>-</w:t>
            </w:r>
            <w:r w:rsidRPr="002505FA">
              <w:rPr>
                <w:rFonts w:cs="Times New Roman"/>
                <w:lang w:val="hr-HR"/>
              </w:rPr>
              <w:tab/>
              <w:t>Rezultati u području kreativnih djelatnosti (</w:t>
            </w:r>
            <w:proofErr w:type="spellStart"/>
            <w:r w:rsidRPr="002505FA">
              <w:rPr>
                <w:rFonts w:cs="Times New Roman"/>
                <w:lang w:val="hr-HR"/>
              </w:rPr>
              <w:t>Cretaive</w:t>
            </w:r>
            <w:proofErr w:type="spellEnd"/>
            <w:r w:rsidRPr="002505FA">
              <w:rPr>
                <w:rFonts w:cs="Times New Roman"/>
                <w:lang w:val="hr-HR"/>
              </w:rPr>
              <w:t xml:space="preserve"> </w:t>
            </w:r>
            <w:proofErr w:type="spellStart"/>
            <w:r w:rsidRPr="002505FA">
              <w:rPr>
                <w:rFonts w:cs="Times New Roman"/>
                <w:lang w:val="hr-HR"/>
              </w:rPr>
              <w:t>outputs</w:t>
            </w:r>
            <w:proofErr w:type="spellEnd"/>
            <w:r w:rsidRPr="002505FA">
              <w:rPr>
                <w:rFonts w:cs="Times New Roman"/>
                <w:lang w:val="hr-HR"/>
              </w:rPr>
              <w:t>)</w:t>
            </w:r>
          </w:p>
        </w:tc>
        <w:tc>
          <w:tcPr>
            <w:tcW w:w="1025" w:type="dxa"/>
          </w:tcPr>
          <w:p w14:paraId="0BF55552" w14:textId="30928365" w:rsidR="00BB70BF" w:rsidRPr="002505FA" w:rsidRDefault="00BB70BF" w:rsidP="007F610C">
            <w:pPr>
              <w:rPr>
                <w:rFonts w:cs="Times New Roman"/>
                <w:highlight w:val="yellow"/>
              </w:rPr>
            </w:pPr>
            <w:r w:rsidRPr="002505FA">
              <w:rPr>
                <w:rFonts w:cs="Times New Roman"/>
              </w:rPr>
              <w:t xml:space="preserve">Vrijednost </w:t>
            </w:r>
            <w:r w:rsidR="00021B5C" w:rsidRPr="002505FA">
              <w:rPr>
                <w:rFonts w:cs="Times New Roman"/>
                <w:szCs w:val="20"/>
              </w:rPr>
              <w:t xml:space="preserve"> </w:t>
            </w:r>
            <w:r w:rsidRPr="002505FA">
              <w:rPr>
                <w:rFonts w:cs="Times New Roman"/>
              </w:rPr>
              <w:t>pokazatelja</w:t>
            </w:r>
          </w:p>
        </w:tc>
        <w:tc>
          <w:tcPr>
            <w:tcW w:w="1103" w:type="dxa"/>
            <w:shd w:val="clear" w:color="auto" w:fill="auto"/>
          </w:tcPr>
          <w:p w14:paraId="5DD6D280" w14:textId="4FBC37E7" w:rsidR="00BB70BF" w:rsidRPr="002505FA" w:rsidRDefault="0030113A" w:rsidP="007F610C">
            <w:pPr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64</w:t>
            </w:r>
            <w:r w:rsidRPr="002505FA">
              <w:rPr>
                <w:rFonts w:cs="Times New Roman"/>
              </w:rPr>
              <w:t xml:space="preserve"> </w:t>
            </w:r>
            <w:r w:rsidR="00BB70BF" w:rsidRPr="002505FA">
              <w:rPr>
                <w:rFonts w:cs="Times New Roman"/>
              </w:rPr>
              <w:t>(</w:t>
            </w:r>
            <w:proofErr w:type="spellStart"/>
            <w:r w:rsidR="00BB70BF" w:rsidRPr="002505FA">
              <w:rPr>
                <w:rFonts w:cs="Times New Roman"/>
              </w:rPr>
              <w:t>Knowledge</w:t>
            </w:r>
            <w:proofErr w:type="spellEnd"/>
            <w:r w:rsidR="00BB70BF" w:rsidRPr="002505FA">
              <w:rPr>
                <w:rFonts w:cs="Times New Roman"/>
              </w:rPr>
              <w:t xml:space="preserve"> </w:t>
            </w:r>
            <w:proofErr w:type="spellStart"/>
            <w:r w:rsidR="00BB70BF" w:rsidRPr="002505FA">
              <w:rPr>
                <w:rFonts w:cs="Times New Roman"/>
              </w:rPr>
              <w:t>and</w:t>
            </w:r>
            <w:proofErr w:type="spellEnd"/>
            <w:r w:rsidR="00BB70BF" w:rsidRPr="002505FA">
              <w:rPr>
                <w:rFonts w:cs="Times New Roman"/>
              </w:rPr>
              <w:t xml:space="preserve"> </w:t>
            </w:r>
            <w:proofErr w:type="spellStart"/>
            <w:r w:rsidR="00BB70BF" w:rsidRPr="002505FA">
              <w:rPr>
                <w:rFonts w:cs="Times New Roman"/>
              </w:rPr>
              <w:t>technology</w:t>
            </w:r>
            <w:proofErr w:type="spellEnd"/>
            <w:r w:rsidR="00BB70BF" w:rsidRPr="002505FA">
              <w:rPr>
                <w:rFonts w:cs="Times New Roman"/>
              </w:rPr>
              <w:t xml:space="preserve"> </w:t>
            </w:r>
            <w:proofErr w:type="spellStart"/>
            <w:r w:rsidR="00BB70BF" w:rsidRPr="002505FA">
              <w:rPr>
                <w:rFonts w:cs="Times New Roman"/>
              </w:rPr>
              <w:t>outputs</w:t>
            </w:r>
            <w:proofErr w:type="spellEnd"/>
            <w:r w:rsidR="00BB70BF" w:rsidRPr="002505FA"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0"/>
              </w:rPr>
              <w:t>34.0</w:t>
            </w:r>
            <w:r w:rsidR="00BB70BF" w:rsidRPr="002505FA">
              <w:rPr>
                <w:rFonts w:cs="Times New Roman"/>
              </w:rPr>
              <w:t xml:space="preserve">; Creative </w:t>
            </w:r>
            <w:proofErr w:type="spellStart"/>
            <w:r w:rsidR="00BB70BF" w:rsidRPr="002505FA">
              <w:rPr>
                <w:rFonts w:cs="Times New Roman"/>
              </w:rPr>
              <w:t>outputs</w:t>
            </w:r>
            <w:proofErr w:type="spellEnd"/>
            <w:r w:rsidR="00BB70BF" w:rsidRPr="002505FA">
              <w:rPr>
                <w:rFonts w:cs="Times New Roman"/>
              </w:rPr>
              <w:t xml:space="preserve"> </w:t>
            </w:r>
            <w:r w:rsidRPr="002505FA">
              <w:rPr>
                <w:rFonts w:cs="Times New Roman"/>
                <w:szCs w:val="20"/>
              </w:rPr>
              <w:t>3</w:t>
            </w:r>
            <w:r>
              <w:rPr>
                <w:rFonts w:cs="Times New Roman"/>
                <w:szCs w:val="20"/>
              </w:rPr>
              <w:t>0.0</w:t>
            </w:r>
            <w:r w:rsidR="00021B5C" w:rsidRPr="002505FA">
              <w:rPr>
                <w:rFonts w:cs="Times New Roman"/>
                <w:szCs w:val="20"/>
              </w:rPr>
              <w:t>)</w:t>
            </w:r>
          </w:p>
          <w:p w14:paraId="15565CAF" w14:textId="02B9832C" w:rsidR="00BB70BF" w:rsidRPr="002505FA" w:rsidRDefault="00BB70BF" w:rsidP="007F610C">
            <w:pPr>
              <w:rPr>
                <w:rFonts w:cs="Times New Roman"/>
                <w:highlight w:val="yellow"/>
              </w:rPr>
            </w:pPr>
            <w:r w:rsidRPr="002505FA">
              <w:rPr>
                <w:rFonts w:cs="Times New Roman"/>
              </w:rPr>
              <w:t>(</w:t>
            </w:r>
            <w:r w:rsidR="00021B5C" w:rsidRPr="002505FA">
              <w:rPr>
                <w:rFonts w:cs="Times New Roman"/>
                <w:szCs w:val="20"/>
              </w:rPr>
              <w:t>202</w:t>
            </w:r>
            <w:r w:rsidR="0030113A">
              <w:rPr>
                <w:rFonts w:cs="Times New Roman"/>
                <w:szCs w:val="20"/>
              </w:rPr>
              <w:t>3</w:t>
            </w:r>
            <w:r w:rsidRPr="002505FA">
              <w:rPr>
                <w:rFonts w:cs="Times New Roman"/>
              </w:rPr>
              <w:t>.)</w:t>
            </w:r>
          </w:p>
        </w:tc>
        <w:tc>
          <w:tcPr>
            <w:tcW w:w="981" w:type="dxa"/>
          </w:tcPr>
          <w:p w14:paraId="2D2E536F" w14:textId="77777777" w:rsidR="00BB70BF" w:rsidRPr="002505FA" w:rsidRDefault="00BB70BF" w:rsidP="007F610C">
            <w:pPr>
              <w:pStyle w:val="CellColumn"/>
              <w:jc w:val="center"/>
              <w:rPr>
                <w:rFonts w:cs="Times New Roman"/>
                <w:lang w:val="hr-HR"/>
              </w:rPr>
            </w:pPr>
            <w:r w:rsidRPr="002505FA">
              <w:rPr>
                <w:rFonts w:cs="Times New Roman"/>
                <w:lang w:val="hr-HR"/>
              </w:rPr>
              <w:t xml:space="preserve">WIPO Global </w:t>
            </w:r>
            <w:proofErr w:type="spellStart"/>
            <w:r w:rsidRPr="002505FA">
              <w:rPr>
                <w:rFonts w:cs="Times New Roman"/>
                <w:lang w:val="hr-HR"/>
              </w:rPr>
              <w:t>Innovation</w:t>
            </w:r>
            <w:proofErr w:type="spellEnd"/>
            <w:r w:rsidRPr="002505FA">
              <w:rPr>
                <w:rFonts w:cs="Times New Roman"/>
                <w:lang w:val="hr-HR"/>
              </w:rPr>
              <w:t xml:space="preserve"> Index</w:t>
            </w:r>
          </w:p>
        </w:tc>
        <w:tc>
          <w:tcPr>
            <w:tcW w:w="918" w:type="dxa"/>
          </w:tcPr>
          <w:p w14:paraId="65438318" w14:textId="21E9D1D4" w:rsidR="00BB70BF" w:rsidRPr="002505FA" w:rsidRDefault="00BB70BF" w:rsidP="007F610C">
            <w:pPr>
              <w:spacing w:after="160" w:line="259" w:lineRule="auto"/>
              <w:jc w:val="left"/>
              <w:rPr>
                <w:rFonts w:cs="Times New Roman"/>
              </w:rPr>
            </w:pPr>
            <w:r w:rsidRPr="002505FA">
              <w:rPr>
                <w:rFonts w:cs="Times New Roman"/>
              </w:rPr>
              <w:t>&gt;</w:t>
            </w:r>
            <w:r w:rsidR="0030113A">
              <w:rPr>
                <w:rFonts w:cs="Times New Roman"/>
              </w:rPr>
              <w:t>64</w:t>
            </w:r>
          </w:p>
        </w:tc>
        <w:tc>
          <w:tcPr>
            <w:tcW w:w="918" w:type="dxa"/>
          </w:tcPr>
          <w:p w14:paraId="6A090B47" w14:textId="22237741" w:rsidR="00BB70BF" w:rsidRPr="002505FA" w:rsidRDefault="00BB70BF" w:rsidP="007F610C">
            <w:pPr>
              <w:spacing w:after="160" w:line="259" w:lineRule="auto"/>
              <w:jc w:val="left"/>
              <w:rPr>
                <w:rFonts w:cs="Times New Roman"/>
              </w:rPr>
            </w:pPr>
            <w:r w:rsidRPr="002505FA">
              <w:rPr>
                <w:rFonts w:cs="Times New Roman"/>
              </w:rPr>
              <w:t>&gt;</w:t>
            </w:r>
            <w:r w:rsidR="0030113A">
              <w:rPr>
                <w:rFonts w:cs="Times New Roman"/>
              </w:rPr>
              <w:t>64</w:t>
            </w:r>
          </w:p>
        </w:tc>
        <w:tc>
          <w:tcPr>
            <w:tcW w:w="918" w:type="dxa"/>
          </w:tcPr>
          <w:p w14:paraId="7802A1A5" w14:textId="45A2BCCC" w:rsidR="00BB70BF" w:rsidRPr="002505FA" w:rsidRDefault="00BB70BF" w:rsidP="007F610C">
            <w:pPr>
              <w:spacing w:after="160" w:line="259" w:lineRule="auto"/>
              <w:jc w:val="left"/>
              <w:rPr>
                <w:rFonts w:cs="Times New Roman"/>
              </w:rPr>
            </w:pPr>
            <w:r w:rsidRPr="002505FA">
              <w:rPr>
                <w:rFonts w:cs="Times New Roman"/>
              </w:rPr>
              <w:t>&gt;</w:t>
            </w:r>
            <w:r w:rsidR="0030113A">
              <w:rPr>
                <w:rFonts w:cs="Times New Roman"/>
              </w:rPr>
              <w:t>64</w:t>
            </w:r>
          </w:p>
        </w:tc>
      </w:tr>
    </w:tbl>
    <w:p w14:paraId="588A580E" w14:textId="77777777" w:rsidR="00BB70BF" w:rsidRPr="002505FA" w:rsidRDefault="00BB70BF" w:rsidP="007F610C">
      <w:pPr>
        <w:jc w:val="both"/>
        <w:rPr>
          <w:rFonts w:ascii="Times New Roman" w:hAnsi="Times New Roman" w:cs="Times New Roman"/>
        </w:rPr>
      </w:pPr>
    </w:p>
    <w:p w14:paraId="4E60FEEE" w14:textId="77777777" w:rsidR="00BB70BF" w:rsidRPr="002505FA" w:rsidRDefault="00BB70BF" w:rsidP="007F610C">
      <w:pPr>
        <w:pStyle w:val="Heading3"/>
        <w:rPr>
          <w:rFonts w:cs="Times New Roman"/>
          <w:lang w:val="hr-HR"/>
        </w:rPr>
      </w:pPr>
      <w:r w:rsidRPr="002505FA">
        <w:rPr>
          <w:rFonts w:cs="Times New Roman"/>
          <w:lang w:val="hr-HR"/>
        </w:rPr>
        <w:t>A763000 ADMINISTRACIJA I UPRAVLJANJE DRŽAVNOG ZAVODA ZA INTELEKTUALNO VLASNIŠTVO</w:t>
      </w:r>
    </w:p>
    <w:p w14:paraId="49C3DAD8" w14:textId="77777777" w:rsidR="00021B5C" w:rsidRPr="002505FA" w:rsidRDefault="00021B5C" w:rsidP="00F815A6">
      <w:pPr>
        <w:jc w:val="both"/>
        <w:rPr>
          <w:rFonts w:ascii="Times New Roman" w:hAnsi="Times New Roman" w:cs="Times New Roman"/>
        </w:rPr>
      </w:pPr>
    </w:p>
    <w:p w14:paraId="7A20D53C" w14:textId="77777777" w:rsidR="00BB70BF" w:rsidRPr="002505FA" w:rsidRDefault="00BB70BF" w:rsidP="007F6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5FA">
        <w:rPr>
          <w:rFonts w:ascii="Times New Roman" w:hAnsi="Times New Roman" w:cs="Times New Roman"/>
          <w:b/>
          <w:sz w:val="24"/>
          <w:szCs w:val="24"/>
        </w:rPr>
        <w:t>Zakonske i druge pravne osnove</w:t>
      </w:r>
    </w:p>
    <w:p w14:paraId="79AF5BB2" w14:textId="77777777" w:rsidR="00273025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Zakon o ustrojstvu i djelokrugu ministarstava i drugih središnjih tijela državne uprave,</w:t>
      </w:r>
    </w:p>
    <w:p w14:paraId="575DA397" w14:textId="0C59E8AD" w:rsidR="00273025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Zakon o patentu,</w:t>
      </w:r>
    </w:p>
    <w:p w14:paraId="3E59AF4C" w14:textId="703FE4F3" w:rsidR="00273025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Zakon o žigu, </w:t>
      </w:r>
    </w:p>
    <w:p w14:paraId="11A6CF7A" w14:textId="77777777" w:rsidR="00273025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Zakon o oznakama zemljopisnog podrijetla i oznakama izvornosti proizvoda i usluga,</w:t>
      </w:r>
    </w:p>
    <w:p w14:paraId="47723F21" w14:textId="5E3F2FA4" w:rsidR="00513E91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Zakon o zaštiti topografija poluvodičkih proizvoda,</w:t>
      </w:r>
    </w:p>
    <w:p w14:paraId="04ECBD98" w14:textId="3913A00A" w:rsidR="00273025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Zakon o industrijskom dizajnu,</w:t>
      </w:r>
    </w:p>
    <w:p w14:paraId="09321337" w14:textId="40EF63F8" w:rsidR="00273025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Zakon o autorskom pravu i srodnim pravima,</w:t>
      </w:r>
    </w:p>
    <w:p w14:paraId="6117D1C9" w14:textId="3ADAEDBF" w:rsidR="00273025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Zakon o zaštiti neobjavljenih informacija s tržišnom vrijednosti,</w:t>
      </w:r>
    </w:p>
    <w:p w14:paraId="1E2C1178" w14:textId="7BDF8B41" w:rsidR="00273025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Zakon o </w:t>
      </w:r>
      <w:r w:rsidR="00062691" w:rsidRPr="002505FA">
        <w:rPr>
          <w:rFonts w:ascii="Times New Roman" w:hAnsi="Times New Roman" w:cs="Times New Roman"/>
          <w:sz w:val="24"/>
          <w:szCs w:val="24"/>
        </w:rPr>
        <w:t>naknadama</w:t>
      </w:r>
      <w:r w:rsidRPr="002505FA">
        <w:rPr>
          <w:rFonts w:ascii="Times New Roman" w:hAnsi="Times New Roman" w:cs="Times New Roman"/>
          <w:sz w:val="24"/>
          <w:szCs w:val="24"/>
        </w:rPr>
        <w:t xml:space="preserve"> u području intelektualnog vlasništva,</w:t>
      </w:r>
    </w:p>
    <w:p w14:paraId="1BA6FBD7" w14:textId="49EE38C5" w:rsidR="00273025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Uredba o naknadama za posebne troškove i troškove za pružanje informacijskih usluga Državnog zavoda za intelektualno vlasništvo,</w:t>
      </w:r>
    </w:p>
    <w:p w14:paraId="70183960" w14:textId="5304B6A8" w:rsidR="00273025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Uredba (EZ) br. 469/2009 o svjedodžbi o dodatnoj zaštiti za lijekove,</w:t>
      </w:r>
    </w:p>
    <w:p w14:paraId="6C5E02A5" w14:textId="76E023BE" w:rsidR="00273025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Uredba (EZ) br. 1610/96 o uvođenju svjedodžbe o dodatnoj zaštiti za sredstva za zaštitu bilja,</w:t>
      </w:r>
    </w:p>
    <w:p w14:paraId="6D986DFF" w14:textId="0FC832A0" w:rsidR="00273025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Ugovor o suradnji na području patenata (PCT),</w:t>
      </w:r>
    </w:p>
    <w:p w14:paraId="0BC0CBCC" w14:textId="0E4AEEAF" w:rsidR="00273025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Pravilnik prema Ugovoru o suradnji na području patenata (PCT),</w:t>
      </w:r>
    </w:p>
    <w:p w14:paraId="7E5703D5" w14:textId="6BB358C8" w:rsidR="00273025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Europska patentna konvencija (EPC 2000), </w:t>
      </w:r>
    </w:p>
    <w:p w14:paraId="6B3B0174" w14:textId="5A61ED1C" w:rsidR="00273025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Provedbeni pravilnik Europske patentne konvencije,</w:t>
      </w:r>
    </w:p>
    <w:p w14:paraId="51B3C1BD" w14:textId="79D24022" w:rsidR="00273025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Pravilnik o pristojbama uz Europsku patentnu konvenciju,</w:t>
      </w:r>
    </w:p>
    <w:p w14:paraId="781C6093" w14:textId="11F346F3" w:rsidR="00273025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lastRenderedPageBreak/>
        <w:t>Madridski sporazum o međunarodnoj registraciji žigova,</w:t>
      </w:r>
    </w:p>
    <w:p w14:paraId="73B1DD56" w14:textId="3CF58FA6" w:rsidR="00273025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Protokol koji se odnosi na Madridski sporazum o međunarodnoj registraciji žigova,</w:t>
      </w:r>
    </w:p>
    <w:p w14:paraId="098528DA" w14:textId="3394B610" w:rsidR="00273025" w:rsidRPr="002505FA" w:rsidRDefault="00BB70BF" w:rsidP="00DB17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Zajednički pravilnik uz Madridski sporazum o međunarodnoj registraciji žigova i Protokol koji se odnosi na Madridski sporazum i Izmjene i dopune Zajedničkog pravilnika,</w:t>
      </w:r>
    </w:p>
    <w:p w14:paraId="58A16AC3" w14:textId="2AC9F378" w:rsidR="00BB70BF" w:rsidRPr="002505FA" w:rsidRDefault="00BB70BF" w:rsidP="007F610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Haški sporazum o međunarodnoj registraciji industrijskog dizajna te Ženevski Akt Haškog sporazuma, Zajednički pravilnik prema Aktu Haškoga sporazuma iz 1999., 1960. i 1934. godine.</w:t>
      </w:r>
    </w:p>
    <w:p w14:paraId="547CE95E" w14:textId="77777777" w:rsidR="00631017" w:rsidRPr="002505FA" w:rsidRDefault="00631017" w:rsidP="00631017">
      <w:pPr>
        <w:jc w:val="both"/>
        <w:rPr>
          <w:rFonts w:ascii="Times New Roman" w:hAnsi="Times New Roman" w:cs="Times New Roman"/>
        </w:rPr>
      </w:pP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509"/>
        <w:gridCol w:w="1607"/>
        <w:gridCol w:w="1598"/>
        <w:gridCol w:w="1598"/>
        <w:gridCol w:w="1598"/>
        <w:gridCol w:w="1598"/>
        <w:gridCol w:w="698"/>
      </w:tblGrid>
      <w:tr w:rsidR="004A3D7D" w:rsidRPr="002505FA" w14:paraId="47A1C7B4" w14:textId="77777777" w:rsidTr="004A3D7D">
        <w:trPr>
          <w:jc w:val="center"/>
        </w:trPr>
        <w:tc>
          <w:tcPr>
            <w:tcW w:w="1509" w:type="dxa"/>
            <w:shd w:val="clear" w:color="auto" w:fill="B5C0D8"/>
          </w:tcPr>
          <w:p w14:paraId="5711A180" w14:textId="77777777" w:rsidR="004A3D7D" w:rsidRPr="002505FA" w:rsidRDefault="004A3D7D" w:rsidP="004A3D7D">
            <w:pPr>
              <w:jc w:val="both"/>
              <w:rPr>
                <w:rFonts w:cs="Times New Roman"/>
                <w:szCs w:val="20"/>
              </w:rPr>
            </w:pPr>
          </w:p>
          <w:p w14:paraId="4389A05E" w14:textId="2DFC024D" w:rsidR="004A3D7D" w:rsidRPr="002505FA" w:rsidRDefault="004A3D7D" w:rsidP="004A3D7D">
            <w:pPr>
              <w:jc w:val="both"/>
              <w:rPr>
                <w:rFonts w:cs="Times New Roman"/>
              </w:rPr>
            </w:pPr>
          </w:p>
        </w:tc>
        <w:tc>
          <w:tcPr>
            <w:tcW w:w="1607" w:type="dxa"/>
            <w:shd w:val="clear" w:color="auto" w:fill="B5C0D8"/>
          </w:tcPr>
          <w:p w14:paraId="11DA14B6" w14:textId="209C3ACF" w:rsidR="004A3D7D" w:rsidRPr="002505FA" w:rsidRDefault="004A3D7D" w:rsidP="004A3D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Izvršenje 2022.</w:t>
            </w:r>
          </w:p>
        </w:tc>
        <w:tc>
          <w:tcPr>
            <w:tcW w:w="1598" w:type="dxa"/>
            <w:shd w:val="clear" w:color="auto" w:fill="B5C0D8"/>
          </w:tcPr>
          <w:p w14:paraId="7659466E" w14:textId="311BA645" w:rsidR="004A3D7D" w:rsidRPr="002505FA" w:rsidRDefault="004A3D7D" w:rsidP="004A3D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Plan 2023.</w:t>
            </w:r>
          </w:p>
        </w:tc>
        <w:tc>
          <w:tcPr>
            <w:tcW w:w="1598" w:type="dxa"/>
            <w:shd w:val="clear" w:color="auto" w:fill="B5C0D8"/>
          </w:tcPr>
          <w:p w14:paraId="59EFF2A1" w14:textId="314AF224" w:rsidR="004A3D7D" w:rsidRPr="002505FA" w:rsidRDefault="004A3D7D" w:rsidP="004A3D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Plan 2024.</w:t>
            </w:r>
          </w:p>
        </w:tc>
        <w:tc>
          <w:tcPr>
            <w:tcW w:w="1598" w:type="dxa"/>
            <w:shd w:val="clear" w:color="auto" w:fill="B5C0D8"/>
          </w:tcPr>
          <w:p w14:paraId="653BF050" w14:textId="3C83B12C" w:rsidR="004A3D7D" w:rsidRPr="002505FA" w:rsidRDefault="004A3D7D" w:rsidP="004A3D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Plan 2025.</w:t>
            </w:r>
          </w:p>
        </w:tc>
        <w:tc>
          <w:tcPr>
            <w:tcW w:w="1598" w:type="dxa"/>
            <w:shd w:val="clear" w:color="auto" w:fill="B5C0D8"/>
          </w:tcPr>
          <w:p w14:paraId="477F277F" w14:textId="20A24FFD" w:rsidR="004A3D7D" w:rsidRPr="002505FA" w:rsidRDefault="004A3D7D" w:rsidP="004A3D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Plan 2026.</w:t>
            </w:r>
          </w:p>
        </w:tc>
        <w:tc>
          <w:tcPr>
            <w:tcW w:w="698" w:type="dxa"/>
            <w:shd w:val="clear" w:color="auto" w:fill="B5C0D8"/>
          </w:tcPr>
          <w:p w14:paraId="741B0555" w14:textId="68BA27A8" w:rsidR="004A3D7D" w:rsidRPr="002505FA" w:rsidRDefault="004A3D7D" w:rsidP="004A3D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Indeks 24./23.</w:t>
            </w:r>
          </w:p>
        </w:tc>
      </w:tr>
      <w:tr w:rsidR="007F610C" w:rsidRPr="002505FA" w14:paraId="19B2A242" w14:textId="77777777" w:rsidTr="004A3D7D">
        <w:trPr>
          <w:jc w:val="center"/>
        </w:trPr>
        <w:tc>
          <w:tcPr>
            <w:tcW w:w="1509" w:type="dxa"/>
            <w:vAlign w:val="top"/>
          </w:tcPr>
          <w:p w14:paraId="181E1E51" w14:textId="77777777" w:rsidR="00BB70BF" w:rsidRPr="002505FA" w:rsidRDefault="00BB70BF" w:rsidP="007F610C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A763000</w:t>
            </w:r>
          </w:p>
        </w:tc>
        <w:tc>
          <w:tcPr>
            <w:tcW w:w="1607" w:type="dxa"/>
            <w:vAlign w:val="top"/>
          </w:tcPr>
          <w:p w14:paraId="567DD7CD" w14:textId="5301B8A2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2.874.909</w:t>
            </w:r>
          </w:p>
        </w:tc>
        <w:tc>
          <w:tcPr>
            <w:tcW w:w="1598" w:type="dxa"/>
            <w:vAlign w:val="top"/>
          </w:tcPr>
          <w:p w14:paraId="34CCAD2A" w14:textId="6A8191D4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3.557.507</w:t>
            </w:r>
          </w:p>
        </w:tc>
        <w:tc>
          <w:tcPr>
            <w:tcW w:w="1598" w:type="dxa"/>
            <w:vAlign w:val="top"/>
          </w:tcPr>
          <w:p w14:paraId="2B1BE7FF" w14:textId="5A8DD401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3.684.503</w:t>
            </w:r>
          </w:p>
        </w:tc>
        <w:tc>
          <w:tcPr>
            <w:tcW w:w="1598" w:type="dxa"/>
            <w:vAlign w:val="top"/>
          </w:tcPr>
          <w:p w14:paraId="689FDCE7" w14:textId="7A604538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3.889.497</w:t>
            </w:r>
          </w:p>
        </w:tc>
        <w:tc>
          <w:tcPr>
            <w:tcW w:w="1598" w:type="dxa"/>
            <w:vAlign w:val="top"/>
          </w:tcPr>
          <w:p w14:paraId="57EA7DC2" w14:textId="49AE59CE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3.846.258</w:t>
            </w:r>
          </w:p>
        </w:tc>
        <w:tc>
          <w:tcPr>
            <w:tcW w:w="698" w:type="dxa"/>
            <w:vAlign w:val="top"/>
          </w:tcPr>
          <w:p w14:paraId="59E74E45" w14:textId="05F28A1F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</w:tr>
    </w:tbl>
    <w:p w14:paraId="750774BF" w14:textId="77777777" w:rsidR="00BB70BF" w:rsidRPr="002505FA" w:rsidRDefault="00BB70BF" w:rsidP="007F610C">
      <w:pPr>
        <w:jc w:val="both"/>
        <w:rPr>
          <w:rFonts w:ascii="Times New Roman" w:hAnsi="Times New Roman" w:cs="Times New Roman"/>
        </w:rPr>
      </w:pPr>
    </w:p>
    <w:p w14:paraId="3A16BB1F" w14:textId="393F8ACB" w:rsidR="00BB70BF" w:rsidRPr="002505FA" w:rsidRDefault="00BB70BF" w:rsidP="007F610C">
      <w:p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Aktivnost Administracija i upravljanje obuhvaća sve redovne poslove i aktivnosti DZIV-a na ostvarenju propisane djelatnosti koja se odnosi na osiguravanje primjerenog sustava zaštite prava intelektualnog vlasništva na teritoriju Republike Hrvatske putem nacionalnog i nadnacionalnih sustava zaštite. Provedbom ove aktivnosti osigurava se:</w:t>
      </w:r>
    </w:p>
    <w:p w14:paraId="1515784B" w14:textId="35C52F59" w:rsidR="00BB70BF" w:rsidRPr="002505FA" w:rsidRDefault="00BB70BF" w:rsidP="007F61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obavljanje propisanih upravnih i stručnih poslova koji se odnose na razvoj zakonodavnog okvira za zaštitu intelektualnog vlasništva; </w:t>
      </w:r>
    </w:p>
    <w:p w14:paraId="73B49B87" w14:textId="33ABDB9D" w:rsidR="00BB70BF" w:rsidRPr="002505FA" w:rsidRDefault="00BB70BF" w:rsidP="007F61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provedba postupaka za zaštitu prava industrijskog vlasništva i nadzor nad sustavom kolektivnog ostvarivanja autorskog i srodnih prava; </w:t>
      </w:r>
    </w:p>
    <w:p w14:paraId="72BF726A" w14:textId="341B235E" w:rsidR="00BB70BF" w:rsidRPr="002505FA" w:rsidRDefault="00BB70BF" w:rsidP="007F61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razvoj i pružanje pratećih javnih stručnih usluga iz područja intelektualnog vlasništva; </w:t>
      </w:r>
    </w:p>
    <w:p w14:paraId="35954DC3" w14:textId="0F31C331" w:rsidR="00BB70BF" w:rsidRPr="002505FA" w:rsidRDefault="00BB70BF" w:rsidP="007F61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razvoj i održavanje javnih registara i baza podataka iz područja intelektualnog vlasništva te održavanje </w:t>
      </w:r>
      <w:r w:rsidR="0030113A">
        <w:rPr>
          <w:rFonts w:ascii="Times New Roman" w:hAnsi="Times New Roman" w:cs="Times New Roman"/>
          <w:sz w:val="24"/>
          <w:szCs w:val="24"/>
        </w:rPr>
        <w:t>osnovne</w:t>
      </w:r>
      <w:r w:rsidRPr="002505FA">
        <w:rPr>
          <w:rFonts w:ascii="Times New Roman" w:hAnsi="Times New Roman" w:cs="Times New Roman"/>
          <w:sz w:val="24"/>
          <w:szCs w:val="24"/>
        </w:rPr>
        <w:t xml:space="preserve"> informacijske, podatkovne i mrežne infrastrukture;  </w:t>
      </w:r>
    </w:p>
    <w:p w14:paraId="3BD4F20E" w14:textId="0319E38E" w:rsidR="00BB70BF" w:rsidRPr="002505FA" w:rsidRDefault="00BB70BF" w:rsidP="007F61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razvoj e-usluga</w:t>
      </w:r>
      <w:r w:rsidR="0030113A">
        <w:rPr>
          <w:rFonts w:ascii="Times New Roman" w:hAnsi="Times New Roman" w:cs="Times New Roman"/>
          <w:sz w:val="24"/>
          <w:szCs w:val="24"/>
        </w:rPr>
        <w:t xml:space="preserve"> u skladu sa standardima javnih usluga </w:t>
      </w:r>
      <w:r w:rsidR="007B2BC1">
        <w:rPr>
          <w:rFonts w:ascii="Times New Roman" w:hAnsi="Times New Roman" w:cs="Times New Roman"/>
          <w:sz w:val="24"/>
          <w:szCs w:val="24"/>
        </w:rPr>
        <w:t>u Republici Hrvatskoj</w:t>
      </w:r>
      <w:r w:rsidRPr="002505F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56D01C" w14:textId="43746D61" w:rsidR="00BB70BF" w:rsidRPr="002505FA" w:rsidRDefault="00BB70BF" w:rsidP="007F61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razvoj i provedba razmjene podataka s međunarodnim sustavima zaštite intelektualnog vlasništva te uključivanje u zajedničke informacijske sustave; </w:t>
      </w:r>
    </w:p>
    <w:p w14:paraId="647AB7E2" w14:textId="050AB6C4" w:rsidR="00BB70BF" w:rsidRPr="002505FA" w:rsidRDefault="00BB70BF" w:rsidP="007F61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sudjelovanje u razvoju zakonodavnog i institucionalnog okvira Europske unije u području intelektualnog vlasništva; </w:t>
      </w:r>
    </w:p>
    <w:p w14:paraId="52ED40BA" w14:textId="5FA037DB" w:rsidR="00BB70BF" w:rsidRPr="002505FA" w:rsidRDefault="00BB70BF" w:rsidP="007F61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obavljanje poslova službene europske i međunarodne suradnje s odgovarajućim državnim institucijama drugih zemalja, kao i odgovarajućim europskim i međunarodnim organizacijama; </w:t>
      </w:r>
    </w:p>
    <w:p w14:paraId="72D9016D" w14:textId="2B1EEA56" w:rsidR="00BB70BF" w:rsidRPr="002505FA" w:rsidRDefault="00BB70BF" w:rsidP="007F61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poslovi pripreme, zaključivanja i izvršavanje međunarodnih ugovora iz područja intelektualnog vlasništva; </w:t>
      </w:r>
    </w:p>
    <w:p w14:paraId="0A1894FB" w14:textId="0806CB3F" w:rsidR="00BB70BF" w:rsidRPr="002505FA" w:rsidRDefault="00BB70BF" w:rsidP="007F61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poslovi vezani uz predstavljanje Republike Hrvatske u europskim i međunarodnim organizacijama i stručnim tijelima iz područja intelektualnog vlasništva; </w:t>
      </w:r>
    </w:p>
    <w:p w14:paraId="6C1827B0" w14:textId="6178E027" w:rsidR="00BB70BF" w:rsidRPr="002505FA" w:rsidRDefault="00BB70BF" w:rsidP="007F61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ostali poslovi razvoja i unaprjeđenja ukupnog nacionalnog sustava intelektualnog vlasništva.</w:t>
      </w:r>
    </w:p>
    <w:p w14:paraId="75B78837" w14:textId="77777777" w:rsidR="00BB70BF" w:rsidRPr="002505FA" w:rsidRDefault="00BB70BF" w:rsidP="007F61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83A6BFC" w14:textId="3AA5DDFF" w:rsidR="00DA1C31" w:rsidRPr="002505FA" w:rsidRDefault="00BB70BF" w:rsidP="00DA1C31">
      <w:p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Od </w:t>
      </w:r>
      <w:r w:rsidR="00DA1C31" w:rsidRPr="002505FA">
        <w:rPr>
          <w:rFonts w:ascii="Times New Roman" w:hAnsi="Times New Roman" w:cs="Times New Roman"/>
          <w:sz w:val="24"/>
          <w:szCs w:val="24"/>
        </w:rPr>
        <w:t>ukupnih planiranih rashoda financiranih s izvora 11 za 2024. godinu, najveći dio od 9</w:t>
      </w:r>
      <w:r w:rsidR="005617B1">
        <w:rPr>
          <w:rFonts w:ascii="Times New Roman" w:hAnsi="Times New Roman" w:cs="Times New Roman"/>
          <w:sz w:val="24"/>
          <w:szCs w:val="24"/>
        </w:rPr>
        <w:t>2,8</w:t>
      </w:r>
      <w:r w:rsidR="00DA1C31" w:rsidRPr="002505FA">
        <w:rPr>
          <w:rFonts w:ascii="Times New Roman" w:hAnsi="Times New Roman" w:cs="Times New Roman"/>
          <w:sz w:val="24"/>
          <w:szCs w:val="24"/>
        </w:rPr>
        <w:t xml:space="preserve">% odnosi se na rashode za zaposlene (skupina 31), </w:t>
      </w:r>
      <w:r w:rsidR="005617B1">
        <w:rPr>
          <w:rFonts w:ascii="Times New Roman" w:hAnsi="Times New Roman" w:cs="Times New Roman"/>
          <w:sz w:val="24"/>
          <w:szCs w:val="24"/>
        </w:rPr>
        <w:t>7</w:t>
      </w:r>
      <w:r w:rsidR="00DA1C31" w:rsidRPr="002505FA">
        <w:rPr>
          <w:rFonts w:ascii="Times New Roman" w:hAnsi="Times New Roman" w:cs="Times New Roman"/>
          <w:sz w:val="24"/>
          <w:szCs w:val="24"/>
        </w:rPr>
        <w:t>% na materijalne rashode (skupina 32), a 0,</w:t>
      </w:r>
      <w:r w:rsidR="00DA1C31" w:rsidRPr="002505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1C31" w:rsidRPr="002505FA">
        <w:rPr>
          <w:rFonts w:ascii="Times New Roman" w:hAnsi="Times New Roman" w:cs="Times New Roman"/>
          <w:sz w:val="24"/>
          <w:szCs w:val="24"/>
        </w:rPr>
        <w:t>% na financijske rashode i na rashode za nabavu nefinancijske imovine (skupina 34 i 42):</w:t>
      </w:r>
    </w:p>
    <w:p w14:paraId="47A7AF0B" w14:textId="38270182" w:rsidR="00C31659" w:rsidRPr="002505FA" w:rsidRDefault="00C31659" w:rsidP="00C3165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lastRenderedPageBreak/>
        <w:t xml:space="preserve">Rashodi za zaposlene </w:t>
      </w:r>
      <w:r w:rsidRPr="002505FA">
        <w:rPr>
          <w:rFonts w:ascii="Times New Roman" w:eastAsia="Times New Roman" w:hAnsi="Times New Roman" w:cs="Times New Roman"/>
          <w:sz w:val="24"/>
          <w:szCs w:val="24"/>
        </w:rPr>
        <w:t xml:space="preserve">za 2023. </w:t>
      </w:r>
      <w:r w:rsidRPr="002505FA">
        <w:rPr>
          <w:rFonts w:ascii="Times New Roman" w:hAnsi="Times New Roman" w:cs="Times New Roman"/>
          <w:sz w:val="24"/>
          <w:szCs w:val="24"/>
        </w:rPr>
        <w:t xml:space="preserve">godinu planirani su u visini prosječnog bruto (I) iznosa od </w:t>
      </w:r>
      <w:r w:rsidRPr="002505F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617B1">
        <w:rPr>
          <w:rFonts w:ascii="Times New Roman" w:eastAsia="Times New Roman" w:hAnsi="Times New Roman" w:cs="Times New Roman"/>
          <w:sz w:val="24"/>
          <w:szCs w:val="24"/>
        </w:rPr>
        <w:t xml:space="preserve">754 </w:t>
      </w:r>
      <w:r w:rsidRPr="002505FA"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2505FA">
        <w:rPr>
          <w:rFonts w:ascii="Times New Roman" w:hAnsi="Times New Roman" w:cs="Times New Roman"/>
          <w:sz w:val="24"/>
          <w:szCs w:val="24"/>
        </w:rPr>
        <w:t xml:space="preserve"> za planirani </w:t>
      </w:r>
      <w:r w:rsidR="007B2BC1">
        <w:rPr>
          <w:rFonts w:ascii="Times New Roman" w:hAnsi="Times New Roman" w:cs="Times New Roman"/>
          <w:sz w:val="24"/>
          <w:szCs w:val="24"/>
        </w:rPr>
        <w:t xml:space="preserve">prosječni godišnji </w:t>
      </w:r>
      <w:r w:rsidRPr="002505FA">
        <w:rPr>
          <w:rFonts w:ascii="Times New Roman" w:hAnsi="Times New Roman" w:cs="Times New Roman"/>
          <w:sz w:val="24"/>
          <w:szCs w:val="24"/>
        </w:rPr>
        <w:t xml:space="preserve">broj od </w:t>
      </w:r>
      <w:r w:rsidRPr="002505FA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2505FA">
        <w:rPr>
          <w:rFonts w:ascii="Times New Roman" w:hAnsi="Times New Roman" w:cs="Times New Roman"/>
          <w:sz w:val="24"/>
          <w:szCs w:val="24"/>
        </w:rPr>
        <w:t xml:space="preserve"> zaposlenika</w:t>
      </w:r>
      <w:r w:rsidRPr="002505FA">
        <w:rPr>
          <w:rFonts w:ascii="Times New Roman" w:eastAsia="Times New Roman" w:hAnsi="Times New Roman" w:cs="Times New Roman"/>
          <w:sz w:val="24"/>
          <w:szCs w:val="24"/>
        </w:rPr>
        <w:t>. S obzirom na limite za rashode ovog izvora određene od strane razdjela, i za</w:t>
      </w:r>
      <w:r w:rsidRPr="002505FA">
        <w:rPr>
          <w:rFonts w:ascii="Times New Roman" w:hAnsi="Times New Roman" w:cs="Times New Roman"/>
          <w:sz w:val="24"/>
          <w:szCs w:val="24"/>
        </w:rPr>
        <w:t xml:space="preserve"> 2025. i 2026. </w:t>
      </w:r>
      <w:r w:rsidRPr="002505FA">
        <w:rPr>
          <w:rFonts w:ascii="Times New Roman" w:eastAsia="Times New Roman" w:hAnsi="Times New Roman" w:cs="Times New Roman"/>
          <w:sz w:val="24"/>
          <w:szCs w:val="24"/>
        </w:rPr>
        <w:t xml:space="preserve">godinu planirani su jednaki iznosi rashoda za zaposlene. </w:t>
      </w:r>
      <w:r w:rsidRPr="002505FA">
        <w:rPr>
          <w:rFonts w:ascii="Times New Roman" w:hAnsi="Times New Roman" w:cs="Times New Roman"/>
          <w:sz w:val="24"/>
          <w:szCs w:val="24"/>
        </w:rPr>
        <w:t xml:space="preserve">Rashodi su planirani na temelju </w:t>
      </w:r>
      <w:r w:rsidR="007B2BC1">
        <w:rPr>
          <w:rFonts w:ascii="Times New Roman" w:hAnsi="Times New Roman" w:cs="Times New Roman"/>
          <w:sz w:val="24"/>
          <w:szCs w:val="24"/>
        </w:rPr>
        <w:t>razine</w:t>
      </w:r>
      <w:r w:rsidR="007B2BC1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Pr="002505FA">
        <w:rPr>
          <w:rFonts w:ascii="Times New Roman" w:hAnsi="Times New Roman" w:cs="Times New Roman"/>
          <w:sz w:val="24"/>
          <w:szCs w:val="24"/>
        </w:rPr>
        <w:t xml:space="preserve">materijalnih prava državnih službenika i dužnosnika propisanima aktima na snazi u rujnu 2023. godine. </w:t>
      </w:r>
    </w:p>
    <w:p w14:paraId="6585BB44" w14:textId="79ED69E3" w:rsidR="00BB70BF" w:rsidRPr="002505FA" w:rsidRDefault="00BB70BF" w:rsidP="007F61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Materijalni rashodi obuhvaćaju rashode korištenja usluga i dobara koja se odnose na redovno poslovanje i obavljanje redovne djelatnosti DZIV-a (</w:t>
      </w:r>
      <w:r w:rsidR="006D672E" w:rsidRPr="002505FA">
        <w:rPr>
          <w:rFonts w:ascii="Times New Roman" w:hAnsi="Times New Roman" w:cs="Times New Roman"/>
          <w:sz w:val="24"/>
          <w:szCs w:val="24"/>
        </w:rPr>
        <w:t xml:space="preserve">troškovi prijevoza zaposlenika na posao i s posla, službena putovanja, </w:t>
      </w:r>
      <w:r w:rsidRPr="002505FA">
        <w:rPr>
          <w:rFonts w:ascii="Times New Roman" w:hAnsi="Times New Roman" w:cs="Times New Roman"/>
          <w:sz w:val="24"/>
          <w:szCs w:val="24"/>
        </w:rPr>
        <w:t>uredski materijal, telekomunikacijske usluge, poštanske usluge, troškovi sudskih sporova itd.), uključujući rashode za rad neovisnog drugostupanjskog tijela (Žalbenih vijeća u području prava industrijskog vlasništva) u prijelaznom periodu do planiranog  prestanka rada po okončanju preostal</w:t>
      </w:r>
      <w:r w:rsidR="007B2BC1">
        <w:rPr>
          <w:rFonts w:ascii="Times New Roman" w:hAnsi="Times New Roman" w:cs="Times New Roman"/>
          <w:sz w:val="24"/>
          <w:szCs w:val="24"/>
        </w:rPr>
        <w:t>ih</w:t>
      </w:r>
      <w:r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7B2BC1">
        <w:rPr>
          <w:rFonts w:ascii="Times New Roman" w:hAnsi="Times New Roman" w:cs="Times New Roman"/>
          <w:sz w:val="24"/>
          <w:szCs w:val="24"/>
        </w:rPr>
        <w:t xml:space="preserve">neriješenih </w:t>
      </w:r>
      <w:r w:rsidRPr="002505FA">
        <w:rPr>
          <w:rFonts w:ascii="Times New Roman" w:hAnsi="Times New Roman" w:cs="Times New Roman"/>
          <w:sz w:val="24"/>
          <w:szCs w:val="24"/>
        </w:rPr>
        <w:t xml:space="preserve">predmeta (mjesečne paušalne naknade predsjedniku i zamjenicima Žalbenih vijeća u području prava industrijskog vlasništva te naknade za rad članova Žalbenih vijeća za </w:t>
      </w:r>
      <w:r w:rsidR="007B2BC1">
        <w:rPr>
          <w:rFonts w:ascii="Times New Roman" w:hAnsi="Times New Roman" w:cs="Times New Roman"/>
          <w:sz w:val="24"/>
          <w:szCs w:val="24"/>
        </w:rPr>
        <w:t>rješavanje</w:t>
      </w:r>
      <w:r w:rsidRPr="002505FA">
        <w:rPr>
          <w:rFonts w:ascii="Times New Roman" w:hAnsi="Times New Roman" w:cs="Times New Roman"/>
          <w:sz w:val="24"/>
          <w:szCs w:val="24"/>
        </w:rPr>
        <w:t xml:space="preserve"> predmet</w:t>
      </w:r>
      <w:r w:rsidR="007B2BC1">
        <w:rPr>
          <w:rFonts w:ascii="Times New Roman" w:hAnsi="Times New Roman" w:cs="Times New Roman"/>
          <w:sz w:val="24"/>
          <w:szCs w:val="24"/>
        </w:rPr>
        <w:t xml:space="preserve">a </w:t>
      </w:r>
      <w:r w:rsidR="00670EDD">
        <w:rPr>
          <w:rFonts w:ascii="Times New Roman" w:hAnsi="Times New Roman" w:cs="Times New Roman"/>
          <w:sz w:val="24"/>
          <w:szCs w:val="24"/>
        </w:rPr>
        <w:t>vraćenih</w:t>
      </w:r>
      <w:r w:rsidR="007B2BC1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Pr="002505FA">
        <w:rPr>
          <w:rFonts w:ascii="Times New Roman" w:hAnsi="Times New Roman" w:cs="Times New Roman"/>
          <w:sz w:val="24"/>
          <w:szCs w:val="24"/>
        </w:rPr>
        <w:t xml:space="preserve">s </w:t>
      </w:r>
      <w:r w:rsidR="007B2BC1" w:rsidRPr="002505FA">
        <w:rPr>
          <w:rFonts w:ascii="Times New Roman" w:hAnsi="Times New Roman" w:cs="Times New Roman"/>
          <w:sz w:val="24"/>
          <w:szCs w:val="24"/>
        </w:rPr>
        <w:t>na</w:t>
      </w:r>
      <w:r w:rsidR="007B2BC1">
        <w:rPr>
          <w:rFonts w:ascii="Times New Roman" w:hAnsi="Times New Roman" w:cs="Times New Roman"/>
          <w:sz w:val="24"/>
          <w:szCs w:val="24"/>
        </w:rPr>
        <w:t>dležnog</w:t>
      </w:r>
      <w:r w:rsidR="007B2BC1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Pr="002505FA">
        <w:rPr>
          <w:rFonts w:ascii="Times New Roman" w:hAnsi="Times New Roman" w:cs="Times New Roman"/>
          <w:sz w:val="24"/>
          <w:szCs w:val="24"/>
        </w:rPr>
        <w:t>suda na ponovno rješavanje</w:t>
      </w:r>
      <w:r w:rsidR="00C31659" w:rsidRPr="002505FA">
        <w:rPr>
          <w:rFonts w:ascii="Times New Roman" w:hAnsi="Times New Roman" w:cs="Times New Roman"/>
          <w:sz w:val="24"/>
          <w:szCs w:val="24"/>
        </w:rPr>
        <w:t xml:space="preserve">; predviđa se okončanje rada Žalbenih vijeća </w:t>
      </w:r>
      <w:r w:rsidR="007B2BC1">
        <w:rPr>
          <w:rFonts w:ascii="Times New Roman" w:hAnsi="Times New Roman" w:cs="Times New Roman"/>
          <w:sz w:val="24"/>
          <w:szCs w:val="24"/>
        </w:rPr>
        <w:t>do kraja 2024</w:t>
      </w:r>
      <w:r w:rsidR="00C31659" w:rsidRPr="002505FA">
        <w:rPr>
          <w:rFonts w:ascii="Times New Roman" w:hAnsi="Times New Roman" w:cs="Times New Roman"/>
          <w:sz w:val="24"/>
          <w:szCs w:val="24"/>
        </w:rPr>
        <w:t>.</w:t>
      </w:r>
      <w:r w:rsidR="007B2BC1">
        <w:rPr>
          <w:rFonts w:ascii="Times New Roman" w:hAnsi="Times New Roman" w:cs="Times New Roman"/>
          <w:sz w:val="24"/>
          <w:szCs w:val="24"/>
        </w:rPr>
        <w:t xml:space="preserve"> godine</w:t>
      </w:r>
      <w:r w:rsidRPr="002505FA">
        <w:rPr>
          <w:rFonts w:ascii="Times New Roman" w:hAnsi="Times New Roman" w:cs="Times New Roman"/>
          <w:sz w:val="24"/>
          <w:szCs w:val="24"/>
        </w:rPr>
        <w:t xml:space="preserve">). Najznačajnije kategorije materijalnih rashoda planiraju se za </w:t>
      </w:r>
      <w:r w:rsidR="006D672E" w:rsidRPr="002505FA">
        <w:rPr>
          <w:rFonts w:ascii="Times New Roman" w:hAnsi="Times New Roman" w:cs="Times New Roman"/>
          <w:sz w:val="24"/>
          <w:szCs w:val="24"/>
        </w:rPr>
        <w:t>troškove prijevoza zaposlenika na posao i s posla (31%</w:t>
      </w:r>
      <w:r w:rsidR="00670EDD">
        <w:rPr>
          <w:rFonts w:ascii="Times New Roman" w:hAnsi="Times New Roman" w:cs="Times New Roman"/>
          <w:sz w:val="24"/>
          <w:szCs w:val="24"/>
        </w:rPr>
        <w:t xml:space="preserve"> ukupnih materijalnih rashoda</w:t>
      </w:r>
      <w:r w:rsidR="006D672E" w:rsidRPr="002505FA">
        <w:rPr>
          <w:rFonts w:ascii="Times New Roman" w:hAnsi="Times New Roman" w:cs="Times New Roman"/>
          <w:sz w:val="24"/>
          <w:szCs w:val="24"/>
        </w:rPr>
        <w:t>)</w:t>
      </w:r>
      <w:r w:rsidR="00670EDD">
        <w:rPr>
          <w:rFonts w:ascii="Times New Roman" w:hAnsi="Times New Roman" w:cs="Times New Roman"/>
          <w:sz w:val="24"/>
          <w:szCs w:val="24"/>
        </w:rPr>
        <w:t>;</w:t>
      </w:r>
      <w:r w:rsidR="006D672E" w:rsidRPr="002505FA">
        <w:rPr>
          <w:rFonts w:ascii="Times New Roman" w:hAnsi="Times New Roman" w:cs="Times New Roman"/>
          <w:sz w:val="24"/>
          <w:szCs w:val="24"/>
        </w:rPr>
        <w:t xml:space="preserve"> službena putovanja (13%)</w:t>
      </w:r>
      <w:r w:rsidR="00670EDD">
        <w:rPr>
          <w:rFonts w:ascii="Times New Roman" w:hAnsi="Times New Roman" w:cs="Times New Roman"/>
          <w:sz w:val="24"/>
          <w:szCs w:val="24"/>
        </w:rPr>
        <w:t>;</w:t>
      </w:r>
      <w:r w:rsidR="006D672E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Pr="002505FA">
        <w:rPr>
          <w:rFonts w:ascii="Times New Roman" w:hAnsi="Times New Roman" w:cs="Times New Roman"/>
          <w:sz w:val="24"/>
          <w:szCs w:val="24"/>
        </w:rPr>
        <w:t>usluge telefona, pošte i prijevoza (</w:t>
      </w:r>
      <w:r w:rsidR="006D672E" w:rsidRPr="002505FA">
        <w:rPr>
          <w:rFonts w:ascii="Times New Roman" w:hAnsi="Times New Roman" w:cs="Times New Roman"/>
          <w:sz w:val="24"/>
          <w:szCs w:val="24"/>
        </w:rPr>
        <w:t>1</w:t>
      </w:r>
      <w:r w:rsidRPr="002505FA">
        <w:rPr>
          <w:rFonts w:ascii="Times New Roman" w:hAnsi="Times New Roman" w:cs="Times New Roman"/>
          <w:sz w:val="24"/>
          <w:szCs w:val="24"/>
        </w:rPr>
        <w:t>1%)</w:t>
      </w:r>
      <w:r w:rsidR="00670EDD">
        <w:rPr>
          <w:rFonts w:ascii="Times New Roman" w:hAnsi="Times New Roman" w:cs="Times New Roman"/>
          <w:sz w:val="24"/>
          <w:szCs w:val="24"/>
        </w:rPr>
        <w:t>;</w:t>
      </w:r>
      <w:r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AA72CD" w:rsidRPr="002505FA">
        <w:rPr>
          <w:rFonts w:ascii="Times New Roman" w:hAnsi="Times New Roman" w:cs="Times New Roman"/>
          <w:sz w:val="24"/>
          <w:szCs w:val="24"/>
        </w:rPr>
        <w:t>uredski materijal (6%)</w:t>
      </w:r>
      <w:r w:rsidR="00670EDD">
        <w:rPr>
          <w:rFonts w:ascii="Times New Roman" w:hAnsi="Times New Roman" w:cs="Times New Roman"/>
          <w:sz w:val="24"/>
          <w:szCs w:val="24"/>
        </w:rPr>
        <w:t>;</w:t>
      </w:r>
      <w:r w:rsidRPr="002505FA">
        <w:rPr>
          <w:rFonts w:ascii="Times New Roman" w:hAnsi="Times New Roman" w:cs="Times New Roman"/>
          <w:sz w:val="24"/>
          <w:szCs w:val="24"/>
        </w:rPr>
        <w:t xml:space="preserve"> računalne usluge za potrebe </w:t>
      </w:r>
      <w:r w:rsidR="00670EDD">
        <w:rPr>
          <w:rFonts w:ascii="Times New Roman" w:hAnsi="Times New Roman" w:cs="Times New Roman"/>
          <w:sz w:val="24"/>
          <w:szCs w:val="24"/>
        </w:rPr>
        <w:t xml:space="preserve">osnovnog </w:t>
      </w:r>
      <w:r w:rsidRPr="002505FA">
        <w:rPr>
          <w:rFonts w:ascii="Times New Roman" w:hAnsi="Times New Roman" w:cs="Times New Roman"/>
          <w:sz w:val="24"/>
          <w:szCs w:val="24"/>
        </w:rPr>
        <w:t>održavanja računalnih (informatičkih) sustava i servisa (</w:t>
      </w:r>
      <w:r w:rsidR="00AA72CD" w:rsidRPr="002505FA">
        <w:rPr>
          <w:rFonts w:ascii="Times New Roman" w:hAnsi="Times New Roman" w:cs="Times New Roman"/>
          <w:sz w:val="24"/>
          <w:szCs w:val="24"/>
        </w:rPr>
        <w:t>5</w:t>
      </w:r>
      <w:r w:rsidRPr="002505FA">
        <w:rPr>
          <w:rFonts w:ascii="Times New Roman" w:hAnsi="Times New Roman" w:cs="Times New Roman"/>
          <w:sz w:val="24"/>
          <w:szCs w:val="24"/>
        </w:rPr>
        <w:t>%)</w:t>
      </w:r>
      <w:r w:rsidR="00670EDD">
        <w:rPr>
          <w:rFonts w:ascii="Times New Roman" w:hAnsi="Times New Roman" w:cs="Times New Roman"/>
          <w:sz w:val="24"/>
          <w:szCs w:val="24"/>
        </w:rPr>
        <w:t>;</w:t>
      </w:r>
      <w:r w:rsidRPr="002505FA">
        <w:rPr>
          <w:rFonts w:ascii="Times New Roman" w:hAnsi="Times New Roman" w:cs="Times New Roman"/>
          <w:sz w:val="24"/>
          <w:szCs w:val="24"/>
        </w:rPr>
        <w:t xml:space="preserve"> zakupnine i najamnine (</w:t>
      </w:r>
      <w:r w:rsidR="00AA72CD" w:rsidRPr="002505FA">
        <w:rPr>
          <w:rFonts w:ascii="Times New Roman" w:hAnsi="Times New Roman" w:cs="Times New Roman"/>
          <w:sz w:val="24"/>
          <w:szCs w:val="24"/>
        </w:rPr>
        <w:t>5</w:t>
      </w:r>
      <w:r w:rsidRPr="002505FA">
        <w:rPr>
          <w:rFonts w:ascii="Times New Roman" w:hAnsi="Times New Roman" w:cs="Times New Roman"/>
          <w:sz w:val="24"/>
          <w:szCs w:val="24"/>
        </w:rPr>
        <w:t>%) koj</w:t>
      </w:r>
      <w:r w:rsidR="00AA72CD" w:rsidRPr="002505FA">
        <w:rPr>
          <w:rFonts w:ascii="Times New Roman" w:hAnsi="Times New Roman" w:cs="Times New Roman"/>
          <w:sz w:val="24"/>
          <w:szCs w:val="24"/>
        </w:rPr>
        <w:t>e</w:t>
      </w:r>
      <w:r w:rsidRPr="002505FA">
        <w:rPr>
          <w:rFonts w:ascii="Times New Roman" w:hAnsi="Times New Roman" w:cs="Times New Roman"/>
          <w:sz w:val="24"/>
          <w:szCs w:val="24"/>
        </w:rPr>
        <w:t xml:space="preserve"> čine troškovi održavanja i nabave softverskih licenci za korištenje uredskih i specijaliziranih programskih alata</w:t>
      </w:r>
      <w:r w:rsidR="00670EDD">
        <w:rPr>
          <w:rFonts w:ascii="Times New Roman" w:hAnsi="Times New Roman" w:cs="Times New Roman"/>
          <w:sz w:val="24"/>
          <w:szCs w:val="24"/>
        </w:rPr>
        <w:t xml:space="preserve">; </w:t>
      </w:r>
      <w:r w:rsidRPr="002505FA">
        <w:rPr>
          <w:rFonts w:ascii="Times New Roman" w:hAnsi="Times New Roman" w:cs="Times New Roman"/>
          <w:sz w:val="24"/>
          <w:szCs w:val="24"/>
        </w:rPr>
        <w:t>usluge ispisa putem uzimanja opreme u zakup putem Središnjeg državnog ureda za središnju javnu nabavu</w:t>
      </w:r>
      <w:r w:rsidR="00670EDD">
        <w:rPr>
          <w:rFonts w:ascii="Times New Roman" w:hAnsi="Times New Roman" w:cs="Times New Roman"/>
          <w:sz w:val="24"/>
          <w:szCs w:val="24"/>
        </w:rPr>
        <w:t xml:space="preserve"> (5%)</w:t>
      </w:r>
      <w:r w:rsidRPr="002505FA">
        <w:rPr>
          <w:rFonts w:ascii="Times New Roman" w:hAnsi="Times New Roman" w:cs="Times New Roman"/>
          <w:sz w:val="24"/>
          <w:szCs w:val="24"/>
        </w:rPr>
        <w:t>;</w:t>
      </w:r>
      <w:r w:rsidR="00AA72CD" w:rsidRPr="002505FA">
        <w:rPr>
          <w:rFonts w:ascii="Times New Roman" w:hAnsi="Times New Roman" w:cs="Times New Roman"/>
          <w:sz w:val="24"/>
          <w:szCs w:val="24"/>
        </w:rPr>
        <w:t xml:space="preserve"> troškova sudskih postupaka </w:t>
      </w:r>
      <w:r w:rsidR="00670EDD">
        <w:rPr>
          <w:rFonts w:ascii="Times New Roman" w:hAnsi="Times New Roman" w:cs="Times New Roman"/>
          <w:sz w:val="24"/>
          <w:szCs w:val="24"/>
        </w:rPr>
        <w:t xml:space="preserve">(5%) </w:t>
      </w:r>
      <w:r w:rsidR="00AA72CD" w:rsidRPr="002505FA">
        <w:rPr>
          <w:rFonts w:ascii="Times New Roman" w:hAnsi="Times New Roman" w:cs="Times New Roman"/>
          <w:sz w:val="24"/>
          <w:szCs w:val="24"/>
        </w:rPr>
        <w:t>te naknada za rad predstavničkih tijela.</w:t>
      </w:r>
    </w:p>
    <w:p w14:paraId="54AC13ED" w14:textId="11B77A40" w:rsidR="00BB70BF" w:rsidRPr="002505FA" w:rsidRDefault="00BB70BF" w:rsidP="007F61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U okviru financijskih rashoda planiraju se troškovi bankarskih usluga i usluga platnog prometa te </w:t>
      </w:r>
      <w:r w:rsidR="00670EDD">
        <w:rPr>
          <w:rFonts w:ascii="Times New Roman" w:hAnsi="Times New Roman" w:cs="Times New Roman"/>
          <w:sz w:val="24"/>
          <w:szCs w:val="24"/>
        </w:rPr>
        <w:t xml:space="preserve">mogućih </w:t>
      </w:r>
      <w:r w:rsidRPr="002505FA">
        <w:rPr>
          <w:rFonts w:ascii="Times New Roman" w:hAnsi="Times New Roman" w:cs="Times New Roman"/>
          <w:sz w:val="24"/>
          <w:szCs w:val="24"/>
        </w:rPr>
        <w:t xml:space="preserve">zateznih kamata, za sve godine planiranja u jednakom neznatnom iznosu od </w:t>
      </w:r>
      <w:r w:rsidR="00F365F9" w:rsidRPr="002505FA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2505FA">
        <w:rPr>
          <w:rFonts w:ascii="Times New Roman" w:hAnsi="Times New Roman" w:cs="Times New Roman"/>
          <w:sz w:val="24"/>
          <w:szCs w:val="24"/>
        </w:rPr>
        <w:t xml:space="preserve"> EUR; </w:t>
      </w:r>
    </w:p>
    <w:p w14:paraId="4288DA96" w14:textId="2404113E" w:rsidR="00F365F9" w:rsidRPr="002505FA" w:rsidRDefault="00BB70BF" w:rsidP="00F365F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Rashodi za nabavu nefinancijske imovine uključuju planirana sredstva u godišnjem iznosu od </w:t>
      </w:r>
      <w:r w:rsidR="00F365F9" w:rsidRPr="002505FA">
        <w:rPr>
          <w:rFonts w:ascii="Times New Roman" w:hAnsi="Times New Roman" w:cs="Times New Roman"/>
          <w:sz w:val="24"/>
          <w:szCs w:val="24"/>
        </w:rPr>
        <w:t>4</w:t>
      </w:r>
      <w:r w:rsidRPr="002505FA">
        <w:rPr>
          <w:rFonts w:ascii="Times New Roman" w:hAnsi="Times New Roman" w:cs="Times New Roman"/>
          <w:sz w:val="24"/>
          <w:szCs w:val="24"/>
        </w:rPr>
        <w:t>.</w:t>
      </w:r>
      <w:r w:rsidR="00F365F9" w:rsidRPr="002505FA">
        <w:rPr>
          <w:rFonts w:ascii="Times New Roman" w:hAnsi="Times New Roman" w:cs="Times New Roman"/>
          <w:sz w:val="24"/>
          <w:szCs w:val="24"/>
        </w:rPr>
        <w:t>130</w:t>
      </w:r>
      <w:r w:rsidRPr="002505FA">
        <w:rPr>
          <w:rFonts w:ascii="Times New Roman" w:hAnsi="Times New Roman" w:cs="Times New Roman"/>
          <w:sz w:val="24"/>
          <w:szCs w:val="24"/>
        </w:rPr>
        <w:t xml:space="preserve"> EUR</w:t>
      </w:r>
      <w:r w:rsidR="0079377D" w:rsidRPr="002505FA">
        <w:rPr>
          <w:rFonts w:ascii="Times New Roman" w:hAnsi="Times New Roman" w:cs="Times New Roman"/>
          <w:sz w:val="24"/>
          <w:szCs w:val="24"/>
        </w:rPr>
        <w:t xml:space="preserve"> za </w:t>
      </w:r>
      <w:r w:rsidR="00670EDD" w:rsidRPr="002505FA">
        <w:rPr>
          <w:rFonts w:ascii="Times New Roman" w:hAnsi="Times New Roman" w:cs="Times New Roman"/>
          <w:sz w:val="24"/>
          <w:szCs w:val="24"/>
        </w:rPr>
        <w:t>sv</w:t>
      </w:r>
      <w:r w:rsidR="00670EDD">
        <w:rPr>
          <w:rFonts w:ascii="Times New Roman" w:hAnsi="Times New Roman" w:cs="Times New Roman"/>
          <w:sz w:val="24"/>
          <w:szCs w:val="24"/>
        </w:rPr>
        <w:t>aku od</w:t>
      </w:r>
      <w:r w:rsidR="00670EDD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79377D" w:rsidRPr="002505FA">
        <w:rPr>
          <w:rFonts w:ascii="Times New Roman" w:hAnsi="Times New Roman" w:cs="Times New Roman"/>
          <w:sz w:val="24"/>
          <w:szCs w:val="24"/>
        </w:rPr>
        <w:t>tri godine</w:t>
      </w:r>
      <w:r w:rsidRPr="002505FA">
        <w:rPr>
          <w:rFonts w:ascii="Times New Roman" w:hAnsi="Times New Roman" w:cs="Times New Roman"/>
          <w:sz w:val="24"/>
          <w:szCs w:val="24"/>
        </w:rPr>
        <w:t xml:space="preserve"> za nužnu </w:t>
      </w:r>
      <w:r w:rsidR="00F365F9" w:rsidRPr="002505FA">
        <w:rPr>
          <w:rFonts w:ascii="Times New Roman" w:hAnsi="Times New Roman" w:cs="Times New Roman"/>
          <w:sz w:val="24"/>
          <w:szCs w:val="24"/>
        </w:rPr>
        <w:t>zamjenu dotrajalih klimatizacijskih uređaja energetski učinkovitijima i minimalnu obnovu zastarjele uredske i komunikacijske opreme</w:t>
      </w:r>
      <w:r w:rsidR="00877E94" w:rsidRPr="002505FA">
        <w:rPr>
          <w:rFonts w:ascii="Times New Roman" w:hAnsi="Times New Roman" w:cs="Times New Roman"/>
          <w:sz w:val="24"/>
          <w:szCs w:val="24"/>
        </w:rPr>
        <w:t>.</w:t>
      </w:r>
    </w:p>
    <w:p w14:paraId="619312D7" w14:textId="77777777" w:rsidR="00BB70BF" w:rsidRPr="002505FA" w:rsidRDefault="00BB70BF" w:rsidP="007F610C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46B172" w14:textId="07E69A81" w:rsidR="00BB70BF" w:rsidRPr="002505FA" w:rsidRDefault="00BB70BF" w:rsidP="007F6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Rashodi financirani vlastitim sredstvima (izvor 31), koja čine akumulirani prihod od internog ugostiteljskog objekta koji je tijekom 2022. privremeno prestao s radom radi prestanka </w:t>
      </w:r>
      <w:r w:rsidR="007D5FBD">
        <w:rPr>
          <w:rFonts w:ascii="Times New Roman" w:hAnsi="Times New Roman" w:cs="Times New Roman"/>
          <w:sz w:val="24"/>
          <w:szCs w:val="24"/>
        </w:rPr>
        <w:t xml:space="preserve">rada dotadašnjeg </w:t>
      </w:r>
      <w:r w:rsidRPr="002505FA">
        <w:rPr>
          <w:rFonts w:ascii="Times New Roman" w:hAnsi="Times New Roman" w:cs="Times New Roman"/>
          <w:sz w:val="24"/>
          <w:szCs w:val="24"/>
        </w:rPr>
        <w:t>voditelj</w:t>
      </w:r>
      <w:r w:rsidR="007D5FBD">
        <w:rPr>
          <w:rFonts w:ascii="Times New Roman" w:hAnsi="Times New Roman" w:cs="Times New Roman"/>
          <w:sz w:val="24"/>
          <w:szCs w:val="24"/>
        </w:rPr>
        <w:t>a</w:t>
      </w:r>
      <w:r w:rsidRPr="002505FA">
        <w:rPr>
          <w:rFonts w:ascii="Times New Roman" w:hAnsi="Times New Roman" w:cs="Times New Roman"/>
          <w:sz w:val="24"/>
          <w:szCs w:val="24"/>
        </w:rPr>
        <w:t>, planirani su u godišnjem iznosu od 1.</w:t>
      </w:r>
      <w:r w:rsidR="007604B3" w:rsidRPr="002505FA">
        <w:rPr>
          <w:rFonts w:ascii="Times New Roman" w:hAnsi="Times New Roman" w:cs="Times New Roman"/>
          <w:sz w:val="24"/>
          <w:szCs w:val="24"/>
        </w:rPr>
        <w:t>000</w:t>
      </w:r>
      <w:r w:rsidRPr="002505FA">
        <w:rPr>
          <w:rFonts w:ascii="Times New Roman" w:hAnsi="Times New Roman" w:cs="Times New Roman"/>
          <w:sz w:val="24"/>
          <w:szCs w:val="24"/>
        </w:rPr>
        <w:t xml:space="preserve"> EUR za </w:t>
      </w:r>
      <w:r w:rsidR="007D5FBD" w:rsidRPr="002505FA">
        <w:rPr>
          <w:rFonts w:ascii="Times New Roman" w:hAnsi="Times New Roman" w:cs="Times New Roman"/>
          <w:sz w:val="24"/>
          <w:szCs w:val="24"/>
        </w:rPr>
        <w:t>sv</w:t>
      </w:r>
      <w:r w:rsidR="007D5FBD">
        <w:rPr>
          <w:rFonts w:ascii="Times New Roman" w:hAnsi="Times New Roman" w:cs="Times New Roman"/>
          <w:sz w:val="24"/>
          <w:szCs w:val="24"/>
        </w:rPr>
        <w:t>aku od</w:t>
      </w:r>
      <w:r w:rsidR="007D5FBD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Pr="002505FA">
        <w:rPr>
          <w:rFonts w:ascii="Times New Roman" w:hAnsi="Times New Roman" w:cs="Times New Roman"/>
          <w:sz w:val="24"/>
          <w:szCs w:val="24"/>
        </w:rPr>
        <w:t xml:space="preserve">tri godine </w:t>
      </w:r>
      <w:r w:rsidR="007D5FBD">
        <w:rPr>
          <w:rFonts w:ascii="Times New Roman" w:hAnsi="Times New Roman" w:cs="Times New Roman"/>
          <w:sz w:val="24"/>
          <w:szCs w:val="24"/>
        </w:rPr>
        <w:t>radi mogućeg</w:t>
      </w:r>
      <w:r w:rsidRPr="002505FA">
        <w:rPr>
          <w:rFonts w:ascii="Times New Roman" w:hAnsi="Times New Roman" w:cs="Times New Roman"/>
          <w:sz w:val="24"/>
          <w:szCs w:val="24"/>
        </w:rPr>
        <w:t xml:space="preserve"> financiranj</w:t>
      </w:r>
      <w:r w:rsidR="007D5FBD">
        <w:rPr>
          <w:rFonts w:ascii="Times New Roman" w:hAnsi="Times New Roman" w:cs="Times New Roman"/>
          <w:sz w:val="24"/>
          <w:szCs w:val="24"/>
        </w:rPr>
        <w:t>a</w:t>
      </w:r>
      <w:r w:rsidRPr="002505FA">
        <w:rPr>
          <w:rFonts w:ascii="Times New Roman" w:hAnsi="Times New Roman" w:cs="Times New Roman"/>
          <w:sz w:val="24"/>
          <w:szCs w:val="24"/>
        </w:rPr>
        <w:t xml:space="preserve"> rashoda nabave robe za potrebe istog internog ugostiteljskog objekta za slučaj nastavka </w:t>
      </w:r>
      <w:r w:rsidR="00877E94" w:rsidRPr="002505FA">
        <w:rPr>
          <w:rFonts w:ascii="Times New Roman" w:hAnsi="Times New Roman" w:cs="Times New Roman"/>
          <w:sz w:val="24"/>
          <w:szCs w:val="24"/>
        </w:rPr>
        <w:t xml:space="preserve">poslovanja ovog objekta. </w:t>
      </w:r>
      <w:r w:rsidRPr="002505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25F78" w14:textId="77777777" w:rsidR="00BB70BF" w:rsidRPr="002505FA" w:rsidRDefault="00BB70BF" w:rsidP="007F6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55E80" w14:textId="260D986A" w:rsidR="00BB70BF" w:rsidRPr="002505FA" w:rsidRDefault="00BB70BF" w:rsidP="007F6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Rashodi financirani s izvora 43 odnose se na prijenos (transfer) propisanih udjela prihoda državnog proračuna od uplaćenih propisanih nacionalnih naknada za održavanje u vrijednosti patenata od strane nositelja onih Europskih patenata koji se odnose na Republiku Hrvatsku, propisanih naknada za međunarodni postupak prijave patenta temeljem međunarodnog Ugovora o suradnji u području patenata (tzv. Ugovor PCT) od strane domaćih podnositelja te naknade podnositelja nacionalnih patenata za tražene posebne stručne usluge Europske patentne organizacije, prema Europskoj patentnoj organizaciji i Svjetskoj organizaciji za </w:t>
      </w:r>
      <w:r w:rsidRPr="002505FA">
        <w:rPr>
          <w:rFonts w:ascii="Times New Roman" w:hAnsi="Times New Roman" w:cs="Times New Roman"/>
          <w:sz w:val="24"/>
          <w:szCs w:val="24"/>
        </w:rPr>
        <w:lastRenderedPageBreak/>
        <w:t>intelektualno vlasništvo sukladno međunarodnim obvezama Republike Hrvatske. Isti su planirani u iznosu 1.</w:t>
      </w:r>
      <w:r w:rsidR="007604B3" w:rsidRPr="002505FA">
        <w:rPr>
          <w:rFonts w:ascii="Times New Roman" w:hAnsi="Times New Roman" w:cs="Times New Roman"/>
          <w:sz w:val="24"/>
          <w:szCs w:val="24"/>
        </w:rPr>
        <w:t>250</w:t>
      </w:r>
      <w:r w:rsidRPr="002505FA">
        <w:rPr>
          <w:rFonts w:ascii="Times New Roman" w:hAnsi="Times New Roman" w:cs="Times New Roman"/>
          <w:sz w:val="24"/>
          <w:szCs w:val="24"/>
        </w:rPr>
        <w:t>.</w:t>
      </w:r>
      <w:r w:rsidR="007604B3" w:rsidRPr="002505FA">
        <w:rPr>
          <w:rFonts w:ascii="Times New Roman" w:hAnsi="Times New Roman" w:cs="Times New Roman"/>
          <w:sz w:val="24"/>
          <w:szCs w:val="24"/>
        </w:rPr>
        <w:t>000</w:t>
      </w:r>
      <w:r w:rsidRPr="002505FA">
        <w:rPr>
          <w:rFonts w:ascii="Times New Roman" w:hAnsi="Times New Roman" w:cs="Times New Roman"/>
          <w:sz w:val="24"/>
          <w:szCs w:val="24"/>
        </w:rPr>
        <w:t xml:space="preserve"> EUR u 202</w:t>
      </w:r>
      <w:r w:rsidR="007604B3" w:rsidRPr="002505FA">
        <w:rPr>
          <w:rFonts w:ascii="Times New Roman" w:hAnsi="Times New Roman" w:cs="Times New Roman"/>
          <w:sz w:val="24"/>
          <w:szCs w:val="24"/>
        </w:rPr>
        <w:t>4</w:t>
      </w:r>
      <w:r w:rsidRPr="002505FA">
        <w:rPr>
          <w:rFonts w:ascii="Times New Roman" w:hAnsi="Times New Roman" w:cs="Times New Roman"/>
          <w:sz w:val="24"/>
          <w:szCs w:val="24"/>
        </w:rPr>
        <w:t>. godini. Sukladno projekcijama rasta na temelju kumulativnog broja prava i procijenjenih trendova planirani su i iznosi u 202</w:t>
      </w:r>
      <w:r w:rsidR="007604B3" w:rsidRPr="002505FA">
        <w:rPr>
          <w:rFonts w:ascii="Times New Roman" w:hAnsi="Times New Roman" w:cs="Times New Roman"/>
          <w:sz w:val="24"/>
          <w:szCs w:val="24"/>
        </w:rPr>
        <w:t>5</w:t>
      </w:r>
      <w:r w:rsidRPr="002505FA">
        <w:rPr>
          <w:rFonts w:ascii="Times New Roman" w:hAnsi="Times New Roman" w:cs="Times New Roman"/>
          <w:sz w:val="24"/>
          <w:szCs w:val="24"/>
        </w:rPr>
        <w:t>. godini i 202</w:t>
      </w:r>
      <w:r w:rsidR="007604B3" w:rsidRPr="002505FA">
        <w:rPr>
          <w:rFonts w:ascii="Times New Roman" w:hAnsi="Times New Roman" w:cs="Times New Roman"/>
          <w:sz w:val="24"/>
          <w:szCs w:val="24"/>
        </w:rPr>
        <w:t>6</w:t>
      </w:r>
      <w:r w:rsidRPr="002505FA">
        <w:rPr>
          <w:rFonts w:ascii="Times New Roman" w:hAnsi="Times New Roman" w:cs="Times New Roman"/>
          <w:sz w:val="24"/>
          <w:szCs w:val="24"/>
        </w:rPr>
        <w:t xml:space="preserve">. godini. </w:t>
      </w:r>
    </w:p>
    <w:p w14:paraId="7E674184" w14:textId="77777777" w:rsidR="00BB70BF" w:rsidRPr="002505FA" w:rsidRDefault="00BB70BF" w:rsidP="007F610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49702B" w14:textId="71F57A16" w:rsidR="00BB70BF" w:rsidRPr="002505FA" w:rsidRDefault="00BB70BF" w:rsidP="007F6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Planirani rashodi financirani s izvora 51 odnose se na troškove planiranih službenih putovanja zaposlenika DZIV-a za potrebe predstavljanja Republike Hrvatske na sastancima stručnih i radnih tijela Europske unije te dijelom refundirana od strane istih, za </w:t>
      </w:r>
      <w:r w:rsidR="007D5FBD" w:rsidRPr="002505FA">
        <w:rPr>
          <w:rFonts w:ascii="Times New Roman" w:hAnsi="Times New Roman" w:cs="Times New Roman"/>
          <w:sz w:val="24"/>
          <w:szCs w:val="24"/>
        </w:rPr>
        <w:t>sv</w:t>
      </w:r>
      <w:r w:rsidR="007D5FBD">
        <w:rPr>
          <w:rFonts w:ascii="Times New Roman" w:hAnsi="Times New Roman" w:cs="Times New Roman"/>
          <w:sz w:val="24"/>
          <w:szCs w:val="24"/>
        </w:rPr>
        <w:t>aku od</w:t>
      </w:r>
      <w:r w:rsidR="007D5FBD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Pr="002505FA">
        <w:rPr>
          <w:rFonts w:ascii="Times New Roman" w:hAnsi="Times New Roman" w:cs="Times New Roman"/>
          <w:sz w:val="24"/>
          <w:szCs w:val="24"/>
        </w:rPr>
        <w:t>tri godine planiranja u jednakom iznosu od 6.636 EUR</w:t>
      </w:r>
      <w:r w:rsidR="007604B3" w:rsidRPr="002505FA">
        <w:rPr>
          <w:rFonts w:ascii="Times New Roman" w:hAnsi="Times New Roman" w:cs="Times New Roman"/>
          <w:sz w:val="24"/>
          <w:szCs w:val="24"/>
        </w:rPr>
        <w:t>. Planirani rashod</w:t>
      </w:r>
      <w:r w:rsidR="00767519">
        <w:rPr>
          <w:rFonts w:ascii="Times New Roman" w:hAnsi="Times New Roman" w:cs="Times New Roman"/>
          <w:sz w:val="24"/>
          <w:szCs w:val="24"/>
        </w:rPr>
        <w:t>i</w:t>
      </w:r>
      <w:r w:rsidR="007604B3" w:rsidRPr="002505FA">
        <w:rPr>
          <w:rFonts w:ascii="Times New Roman" w:hAnsi="Times New Roman" w:cs="Times New Roman"/>
          <w:sz w:val="24"/>
          <w:szCs w:val="24"/>
        </w:rPr>
        <w:t xml:space="preserve"> izvora </w:t>
      </w:r>
      <w:r w:rsidR="00767519">
        <w:rPr>
          <w:rFonts w:ascii="Times New Roman" w:hAnsi="Times New Roman" w:cs="Times New Roman"/>
          <w:sz w:val="24"/>
          <w:szCs w:val="24"/>
        </w:rPr>
        <w:t>su</w:t>
      </w:r>
      <w:r w:rsidR="00767519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7604B3" w:rsidRPr="002505FA">
        <w:rPr>
          <w:rFonts w:ascii="Times New Roman" w:hAnsi="Times New Roman" w:cs="Times New Roman"/>
          <w:sz w:val="24"/>
          <w:szCs w:val="24"/>
        </w:rPr>
        <w:t>manji od usporedne 2023.</w:t>
      </w:r>
      <w:r w:rsidR="0003395B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7604B3" w:rsidRPr="002505FA">
        <w:rPr>
          <w:rFonts w:ascii="Times New Roman" w:hAnsi="Times New Roman" w:cs="Times New Roman"/>
          <w:sz w:val="24"/>
          <w:szCs w:val="24"/>
        </w:rPr>
        <w:t>godine zbog isteka mandata</w:t>
      </w:r>
      <w:r w:rsidR="00C17FC9" w:rsidRPr="002505FA">
        <w:rPr>
          <w:rFonts w:ascii="Times New Roman" w:hAnsi="Times New Roman" w:cs="Times New Roman"/>
          <w:sz w:val="24"/>
          <w:szCs w:val="24"/>
        </w:rPr>
        <w:t xml:space="preserve"> (</w:t>
      </w:r>
      <w:r w:rsidR="0003395B" w:rsidRPr="002505FA">
        <w:rPr>
          <w:rFonts w:ascii="Times New Roman" w:hAnsi="Times New Roman" w:cs="Times New Roman"/>
          <w:sz w:val="24"/>
          <w:szCs w:val="24"/>
        </w:rPr>
        <w:t xml:space="preserve">zaključno </w:t>
      </w:r>
      <w:r w:rsidR="00C17FC9" w:rsidRPr="002505FA">
        <w:rPr>
          <w:rFonts w:ascii="Times New Roman" w:hAnsi="Times New Roman" w:cs="Times New Roman"/>
          <w:sz w:val="24"/>
          <w:szCs w:val="24"/>
        </w:rPr>
        <w:t xml:space="preserve">s 31.12.2023.) privremeno izaslane zaposlenice </w:t>
      </w:r>
      <w:r w:rsidR="007D5FBD">
        <w:rPr>
          <w:rFonts w:ascii="Times New Roman" w:hAnsi="Times New Roman" w:cs="Times New Roman"/>
          <w:sz w:val="24"/>
          <w:szCs w:val="24"/>
        </w:rPr>
        <w:t xml:space="preserve">DZIV-a </w:t>
      </w:r>
      <w:r w:rsidR="00C17FC9" w:rsidRPr="002505FA">
        <w:rPr>
          <w:rFonts w:ascii="Times New Roman" w:hAnsi="Times New Roman" w:cs="Times New Roman"/>
          <w:sz w:val="24"/>
          <w:szCs w:val="24"/>
        </w:rPr>
        <w:t xml:space="preserve">na rad u tijelo EU-a (Ured Europske unije za intelektualno vlasništvo) </w:t>
      </w:r>
      <w:r w:rsidR="007D5FBD">
        <w:rPr>
          <w:rFonts w:ascii="Times New Roman" w:hAnsi="Times New Roman" w:cs="Times New Roman"/>
          <w:sz w:val="24"/>
          <w:szCs w:val="24"/>
        </w:rPr>
        <w:t>za koju se</w:t>
      </w:r>
      <w:r w:rsidR="00C17FC9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767519">
        <w:rPr>
          <w:rFonts w:ascii="Times New Roman" w:hAnsi="Times New Roman" w:cs="Times New Roman"/>
          <w:sz w:val="24"/>
          <w:szCs w:val="24"/>
        </w:rPr>
        <w:t xml:space="preserve">propisani dio </w:t>
      </w:r>
      <w:r w:rsidR="00767519" w:rsidRPr="002505FA">
        <w:rPr>
          <w:rFonts w:ascii="Times New Roman" w:hAnsi="Times New Roman" w:cs="Times New Roman"/>
          <w:sz w:val="24"/>
          <w:szCs w:val="24"/>
        </w:rPr>
        <w:t>troš</w:t>
      </w:r>
      <w:r w:rsidR="00767519">
        <w:rPr>
          <w:rFonts w:ascii="Times New Roman" w:hAnsi="Times New Roman" w:cs="Times New Roman"/>
          <w:sz w:val="24"/>
          <w:szCs w:val="24"/>
        </w:rPr>
        <w:t>ka plaće pokrivao s ovog izvora</w:t>
      </w:r>
      <w:r w:rsidR="00C17FC9" w:rsidRPr="002505FA">
        <w:rPr>
          <w:rFonts w:ascii="Times New Roman" w:hAnsi="Times New Roman" w:cs="Times New Roman"/>
          <w:sz w:val="24"/>
          <w:szCs w:val="24"/>
        </w:rPr>
        <w:t xml:space="preserve">, a </w:t>
      </w:r>
      <w:r w:rsidR="00767519">
        <w:rPr>
          <w:rFonts w:ascii="Times New Roman" w:hAnsi="Times New Roman" w:cs="Times New Roman"/>
          <w:sz w:val="24"/>
          <w:szCs w:val="24"/>
        </w:rPr>
        <w:t>u</w:t>
      </w:r>
      <w:r w:rsidR="00767519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C17FC9" w:rsidRPr="002505FA">
        <w:rPr>
          <w:rFonts w:ascii="Times New Roman" w:hAnsi="Times New Roman" w:cs="Times New Roman"/>
          <w:sz w:val="24"/>
          <w:szCs w:val="24"/>
        </w:rPr>
        <w:t>plansko</w:t>
      </w:r>
      <w:r w:rsidR="00767519">
        <w:rPr>
          <w:rFonts w:ascii="Times New Roman" w:hAnsi="Times New Roman" w:cs="Times New Roman"/>
          <w:sz w:val="24"/>
          <w:szCs w:val="24"/>
        </w:rPr>
        <w:t>m</w:t>
      </w:r>
      <w:r w:rsidR="00C17FC9" w:rsidRPr="002505FA">
        <w:rPr>
          <w:rFonts w:ascii="Times New Roman" w:hAnsi="Times New Roman" w:cs="Times New Roman"/>
          <w:sz w:val="24"/>
          <w:szCs w:val="24"/>
        </w:rPr>
        <w:t xml:space="preserve"> i </w:t>
      </w:r>
      <w:r w:rsidR="00767519" w:rsidRPr="002505FA">
        <w:rPr>
          <w:rFonts w:ascii="Times New Roman" w:hAnsi="Times New Roman" w:cs="Times New Roman"/>
          <w:sz w:val="24"/>
          <w:szCs w:val="24"/>
        </w:rPr>
        <w:t>projiciran</w:t>
      </w:r>
      <w:r w:rsidR="00767519">
        <w:rPr>
          <w:rFonts w:ascii="Times New Roman" w:hAnsi="Times New Roman" w:cs="Times New Roman"/>
          <w:sz w:val="24"/>
          <w:szCs w:val="24"/>
        </w:rPr>
        <w:t>om</w:t>
      </w:r>
      <w:r w:rsidR="00767519" w:rsidRPr="002505FA">
        <w:rPr>
          <w:rFonts w:ascii="Times New Roman" w:hAnsi="Times New Roman" w:cs="Times New Roman"/>
          <w:sz w:val="24"/>
          <w:szCs w:val="24"/>
        </w:rPr>
        <w:t xml:space="preserve"> razdoblj</w:t>
      </w:r>
      <w:r w:rsidR="00767519">
        <w:rPr>
          <w:rFonts w:ascii="Times New Roman" w:hAnsi="Times New Roman" w:cs="Times New Roman"/>
          <w:sz w:val="24"/>
          <w:szCs w:val="24"/>
        </w:rPr>
        <w:t>u neće</w:t>
      </w:r>
      <w:r w:rsidR="00767519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C17FC9" w:rsidRPr="002505FA">
        <w:rPr>
          <w:rFonts w:ascii="Times New Roman" w:hAnsi="Times New Roman" w:cs="Times New Roman"/>
          <w:sz w:val="24"/>
          <w:szCs w:val="24"/>
        </w:rPr>
        <w:t xml:space="preserve">će </w:t>
      </w:r>
      <w:r w:rsidR="00767519">
        <w:rPr>
          <w:rFonts w:ascii="Times New Roman" w:hAnsi="Times New Roman" w:cs="Times New Roman"/>
          <w:sz w:val="24"/>
          <w:szCs w:val="24"/>
        </w:rPr>
        <w:t>se više pokrivati iz ovog izvora</w:t>
      </w:r>
      <w:r w:rsidR="00C17FC9" w:rsidRPr="002505FA">
        <w:rPr>
          <w:rFonts w:ascii="Times New Roman" w:hAnsi="Times New Roman" w:cs="Times New Roman"/>
          <w:sz w:val="24"/>
          <w:szCs w:val="24"/>
        </w:rPr>
        <w:t>.</w:t>
      </w:r>
    </w:p>
    <w:p w14:paraId="4E610E57" w14:textId="77777777" w:rsidR="00BB70BF" w:rsidRPr="002505FA" w:rsidRDefault="00BB70BF" w:rsidP="007F610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700EF2" w14:textId="1891B525" w:rsidR="00BB70BF" w:rsidRPr="002505FA" w:rsidRDefault="00BB70BF" w:rsidP="007F610C">
      <w:p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Rashodi za službena putovanja zaposlenika DZIV-a kao predstavnika Republike Hrvatske na sastanke stručnih i upravljačkih tijela Europske patentne organizacije te radnih grupa Europskog patentnog ureda kao izvršnog tijela te organizacije financiraju se s izvora 52 te su refundirani od strane Europskog patentnog ureda i predstavljaju najveći dio rashoda unutar ovog izvora (</w:t>
      </w:r>
      <w:r w:rsidR="00C17FC9" w:rsidRPr="002505FA">
        <w:rPr>
          <w:rFonts w:ascii="Times New Roman" w:hAnsi="Times New Roman" w:cs="Times New Roman"/>
          <w:sz w:val="24"/>
          <w:szCs w:val="24"/>
        </w:rPr>
        <w:t>6</w:t>
      </w:r>
      <w:r w:rsidRPr="002505FA">
        <w:rPr>
          <w:rFonts w:ascii="Times New Roman" w:hAnsi="Times New Roman" w:cs="Times New Roman"/>
          <w:sz w:val="24"/>
          <w:szCs w:val="24"/>
        </w:rPr>
        <w:t xml:space="preserve">7%). Preostali udio u ovim rashodima čine planirani rashodi za druge aktivnosti koje se provode u suradnji s međunarodnim organizacijama (stručno usavršavanje zaposlenika DZIV-a putem programa međunarodnih organizacija, zajednička organizacija stručnih događanja i po potrebi angažmana vanjskih konzultanata na suradničkim aktivnostima i sl.). </w:t>
      </w:r>
    </w:p>
    <w:p w14:paraId="71FA56F7" w14:textId="77777777" w:rsidR="00BB70BF" w:rsidRPr="002505FA" w:rsidRDefault="00BB70BF" w:rsidP="007F610C">
      <w:pPr>
        <w:jc w:val="both"/>
        <w:rPr>
          <w:rFonts w:ascii="Times New Roman" w:hAnsi="Times New Roman" w:cs="Times New Roman"/>
        </w:rPr>
      </w:pPr>
    </w:p>
    <w:p w14:paraId="2BE74814" w14:textId="7DA7CC95" w:rsidR="00BB70BF" w:rsidRPr="002505FA" w:rsidRDefault="00BB70BF" w:rsidP="0079377D">
      <w:pPr>
        <w:pStyle w:val="Heading3"/>
        <w:rPr>
          <w:rFonts w:cs="Times New Roman"/>
          <w:lang w:val="hr-HR"/>
        </w:rPr>
      </w:pPr>
      <w:r w:rsidRPr="002505FA">
        <w:rPr>
          <w:rFonts w:cs="Times New Roman"/>
          <w:lang w:val="hr-HR"/>
        </w:rPr>
        <w:t xml:space="preserve">T763005 SURADNJA DZIV-a S </w:t>
      </w:r>
      <w:r w:rsidR="00013AFC" w:rsidRPr="002505FA">
        <w:rPr>
          <w:rFonts w:cs="Times New Roman"/>
          <w:lang w:val="hr-HR"/>
        </w:rPr>
        <w:t xml:space="preserve">EUROPSKIM </w:t>
      </w:r>
      <w:r w:rsidRPr="002505FA">
        <w:rPr>
          <w:rFonts w:cs="Times New Roman"/>
          <w:lang w:val="hr-HR"/>
        </w:rPr>
        <w:t xml:space="preserve">UREDOM ZA </w:t>
      </w:r>
      <w:r w:rsidR="00013AFC" w:rsidRPr="002505FA">
        <w:rPr>
          <w:rFonts w:cs="Times New Roman"/>
          <w:lang w:val="hr-HR"/>
        </w:rPr>
        <w:t>ŽIGOVE I DIZAJN</w:t>
      </w:r>
    </w:p>
    <w:p w14:paraId="62C4F4F7" w14:textId="77777777" w:rsidR="00BB70BF" w:rsidRPr="002505FA" w:rsidRDefault="00BB70BF" w:rsidP="00BB70BF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5FA">
        <w:rPr>
          <w:rFonts w:ascii="Times New Roman" w:eastAsia="Times New Roman" w:hAnsi="Times New Roman" w:cs="Times New Roman"/>
          <w:b/>
          <w:sz w:val="24"/>
          <w:szCs w:val="24"/>
        </w:rPr>
        <w:t>Zakonske i druge pravne osnove</w:t>
      </w:r>
    </w:p>
    <w:p w14:paraId="38F68F6F" w14:textId="3D4959F7" w:rsidR="00BB70BF" w:rsidRPr="002505FA" w:rsidRDefault="00BB70BF" w:rsidP="007F610C">
      <w:pPr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Uredba (EU) 2017/1001 Europskog parlamenta i Vijeća od 14. lipnja 2017. o žigu Europske unije, članak. 152.</w:t>
      </w:r>
      <w:r w:rsidR="00013AFC" w:rsidRPr="002505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509"/>
        <w:gridCol w:w="1607"/>
        <w:gridCol w:w="1598"/>
        <w:gridCol w:w="1598"/>
        <w:gridCol w:w="1598"/>
        <w:gridCol w:w="1598"/>
        <w:gridCol w:w="698"/>
      </w:tblGrid>
      <w:tr w:rsidR="004A3D7D" w:rsidRPr="002505FA" w14:paraId="134981D9" w14:textId="77777777" w:rsidTr="004A3D7D">
        <w:trPr>
          <w:jc w:val="center"/>
        </w:trPr>
        <w:tc>
          <w:tcPr>
            <w:tcW w:w="1509" w:type="dxa"/>
            <w:shd w:val="clear" w:color="auto" w:fill="B5C0D8"/>
          </w:tcPr>
          <w:p w14:paraId="420D1F2A" w14:textId="77777777" w:rsidR="004A3D7D" w:rsidRPr="002505FA" w:rsidRDefault="004A3D7D" w:rsidP="004A3D7D">
            <w:pPr>
              <w:jc w:val="both"/>
              <w:rPr>
                <w:rFonts w:cs="Times New Roman"/>
                <w:szCs w:val="20"/>
              </w:rPr>
            </w:pPr>
          </w:p>
          <w:p w14:paraId="65E957C9" w14:textId="5630DB9C" w:rsidR="004A3D7D" w:rsidRPr="002505FA" w:rsidRDefault="004A3D7D" w:rsidP="004A3D7D">
            <w:pPr>
              <w:jc w:val="both"/>
              <w:rPr>
                <w:rFonts w:cs="Times New Roman"/>
              </w:rPr>
            </w:pPr>
          </w:p>
        </w:tc>
        <w:tc>
          <w:tcPr>
            <w:tcW w:w="1607" w:type="dxa"/>
            <w:shd w:val="clear" w:color="auto" w:fill="B5C0D8"/>
          </w:tcPr>
          <w:p w14:paraId="43D99848" w14:textId="779BECFF" w:rsidR="004A3D7D" w:rsidRPr="002505FA" w:rsidRDefault="004A3D7D" w:rsidP="004A3D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Izvršenje 2022.</w:t>
            </w:r>
          </w:p>
        </w:tc>
        <w:tc>
          <w:tcPr>
            <w:tcW w:w="1598" w:type="dxa"/>
            <w:shd w:val="clear" w:color="auto" w:fill="B5C0D8"/>
          </w:tcPr>
          <w:p w14:paraId="0DB3C8F8" w14:textId="2EE1B18B" w:rsidR="004A3D7D" w:rsidRPr="002505FA" w:rsidRDefault="004A3D7D" w:rsidP="004A3D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Plan 2023.</w:t>
            </w:r>
          </w:p>
        </w:tc>
        <w:tc>
          <w:tcPr>
            <w:tcW w:w="1598" w:type="dxa"/>
            <w:shd w:val="clear" w:color="auto" w:fill="B5C0D8"/>
          </w:tcPr>
          <w:p w14:paraId="45317828" w14:textId="73C30725" w:rsidR="004A3D7D" w:rsidRPr="002505FA" w:rsidRDefault="004A3D7D" w:rsidP="004A3D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Plan 2024.</w:t>
            </w:r>
          </w:p>
        </w:tc>
        <w:tc>
          <w:tcPr>
            <w:tcW w:w="1598" w:type="dxa"/>
            <w:shd w:val="clear" w:color="auto" w:fill="B5C0D8"/>
          </w:tcPr>
          <w:p w14:paraId="15DB7ADD" w14:textId="48EF7F36" w:rsidR="004A3D7D" w:rsidRPr="002505FA" w:rsidRDefault="004A3D7D" w:rsidP="004A3D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Plan 2025.</w:t>
            </w:r>
          </w:p>
        </w:tc>
        <w:tc>
          <w:tcPr>
            <w:tcW w:w="1598" w:type="dxa"/>
            <w:shd w:val="clear" w:color="auto" w:fill="B5C0D8"/>
          </w:tcPr>
          <w:p w14:paraId="20052C15" w14:textId="62E342F6" w:rsidR="004A3D7D" w:rsidRPr="002505FA" w:rsidRDefault="004A3D7D" w:rsidP="004A3D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Plan 2026.</w:t>
            </w:r>
          </w:p>
        </w:tc>
        <w:tc>
          <w:tcPr>
            <w:tcW w:w="698" w:type="dxa"/>
            <w:shd w:val="clear" w:color="auto" w:fill="B5C0D8"/>
          </w:tcPr>
          <w:p w14:paraId="0178D329" w14:textId="07407263" w:rsidR="004A3D7D" w:rsidRPr="002505FA" w:rsidRDefault="004A3D7D" w:rsidP="004A3D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Indeks 24./23.</w:t>
            </w:r>
          </w:p>
        </w:tc>
      </w:tr>
      <w:tr w:rsidR="007F610C" w:rsidRPr="002505FA" w14:paraId="44E0340F" w14:textId="77777777" w:rsidTr="004A3D7D">
        <w:trPr>
          <w:jc w:val="center"/>
        </w:trPr>
        <w:tc>
          <w:tcPr>
            <w:tcW w:w="1509" w:type="dxa"/>
            <w:vAlign w:val="top"/>
          </w:tcPr>
          <w:p w14:paraId="06070CEC" w14:textId="77777777" w:rsidR="00BB70BF" w:rsidRPr="002505FA" w:rsidRDefault="00BB70BF" w:rsidP="007F610C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T763005</w:t>
            </w:r>
          </w:p>
        </w:tc>
        <w:tc>
          <w:tcPr>
            <w:tcW w:w="1607" w:type="dxa"/>
            <w:vAlign w:val="top"/>
          </w:tcPr>
          <w:p w14:paraId="5787635B" w14:textId="1321623C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157.833</w:t>
            </w:r>
          </w:p>
        </w:tc>
        <w:tc>
          <w:tcPr>
            <w:tcW w:w="1598" w:type="dxa"/>
            <w:vAlign w:val="top"/>
          </w:tcPr>
          <w:p w14:paraId="7FFB834B" w14:textId="6C1AA25F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430.186</w:t>
            </w:r>
          </w:p>
        </w:tc>
        <w:tc>
          <w:tcPr>
            <w:tcW w:w="1598" w:type="dxa"/>
            <w:vAlign w:val="top"/>
          </w:tcPr>
          <w:p w14:paraId="6EE8C5AF" w14:textId="5BE775E0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953.057</w:t>
            </w:r>
          </w:p>
        </w:tc>
        <w:tc>
          <w:tcPr>
            <w:tcW w:w="1598" w:type="dxa"/>
            <w:vAlign w:val="top"/>
          </w:tcPr>
          <w:p w14:paraId="72F4CB13" w14:textId="7B06222C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616.915</w:t>
            </w:r>
          </w:p>
        </w:tc>
        <w:tc>
          <w:tcPr>
            <w:tcW w:w="1598" w:type="dxa"/>
            <w:vAlign w:val="top"/>
          </w:tcPr>
          <w:p w14:paraId="341F8586" w14:textId="78DBE892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666.915</w:t>
            </w:r>
          </w:p>
        </w:tc>
        <w:tc>
          <w:tcPr>
            <w:tcW w:w="698" w:type="dxa"/>
            <w:vAlign w:val="top"/>
          </w:tcPr>
          <w:p w14:paraId="385235A1" w14:textId="0FC1EF43" w:rsidR="00BB70BF" w:rsidRPr="002505FA" w:rsidRDefault="002A0F5D" w:rsidP="007F61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221</w:t>
            </w:r>
          </w:p>
        </w:tc>
      </w:tr>
    </w:tbl>
    <w:p w14:paraId="683A03BB" w14:textId="77777777" w:rsidR="00BB70BF" w:rsidRPr="002505FA" w:rsidRDefault="00BB70BF" w:rsidP="007F610C">
      <w:pPr>
        <w:rPr>
          <w:rFonts w:ascii="Times New Roman" w:hAnsi="Times New Roman" w:cs="Times New Roman"/>
        </w:rPr>
      </w:pPr>
    </w:p>
    <w:p w14:paraId="14AE0670" w14:textId="56074C3F" w:rsidR="00BB70BF" w:rsidRPr="002505FA" w:rsidRDefault="00BB70BF" w:rsidP="0079377D">
      <w:p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Temeljem ugovora o suradnji s Uredom Europske unije za intelektualno vlasništvo (EUIPO) i Državnog zavoda za intelektualno vlasništvo, koji se sklapaju na godišnjoj razini, provodi se suradnja propisana člankom 152. Uredbe (EU) 2017/1001 Europskog parlamenta i Vijeća od 14. lipnja 2017. o žigu Europske unije. Sukladno članku 152., EUIPO i središnji uredi za industrijsko vlasništvo država članica i Ured Beneluksa za intelektualno vlasništvo međusobno dobrovoljno surađuju radi promicanja konvergencije praksi i alata u području žigova i dizajna. Ta suradnja posebno obuhvaća: </w:t>
      </w:r>
    </w:p>
    <w:p w14:paraId="7339A092" w14:textId="64B537FF" w:rsidR="00BB70BF" w:rsidRPr="002505FA" w:rsidRDefault="00BB70BF" w:rsidP="007937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razvoj zajedničkih standarda ispitivanja prijava za registraciju žigova; </w:t>
      </w:r>
    </w:p>
    <w:p w14:paraId="04D1EF7D" w14:textId="7B8C5853" w:rsidR="00BB70BF" w:rsidRPr="002505FA" w:rsidRDefault="00BB70BF" w:rsidP="007937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lastRenderedPageBreak/>
        <w:t xml:space="preserve">stvaranje zajedničkih ili povezanih baza podataka i portala u svrhu pregleda, pretraživanja i klasifikacije žigova diljem EU-a; </w:t>
      </w:r>
    </w:p>
    <w:p w14:paraId="04DD3800" w14:textId="1A70EE76" w:rsidR="00BB70BF" w:rsidRPr="002505FA" w:rsidRDefault="00BB70BF" w:rsidP="007937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stalno pružanje i razmjenu podataka i informacija, uključujući i rad popunjavanja baza podataka i portala iz točke (b); </w:t>
      </w:r>
    </w:p>
    <w:p w14:paraId="35BA0435" w14:textId="340B4410" w:rsidR="00BB70BF" w:rsidRPr="002505FA" w:rsidRDefault="00BB70BF" w:rsidP="007937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uspostavljanje zajedničkih standarda i praksi kako bi se osigurala interoperabilnost između postupaka i sustava diljem EU-a te poboljšala njihova dosljednost, učinkovitost i djelotvornost; </w:t>
      </w:r>
    </w:p>
    <w:p w14:paraId="3C40458A" w14:textId="1E46D1A2" w:rsidR="00BB70BF" w:rsidRPr="002505FA" w:rsidRDefault="00BB70BF" w:rsidP="007937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dijeljenje informacija o pravima industrijskog vlasništva i postupcima, uključujući uzajamnu potporu službama za pomoć i informacijskim centrima; </w:t>
      </w:r>
    </w:p>
    <w:p w14:paraId="08B88246" w14:textId="7500AB5A" w:rsidR="00BB70BF" w:rsidRPr="002505FA" w:rsidRDefault="00BB70BF" w:rsidP="007937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razmjenu stručnih tehničkih znanja i pomoći u vezi s područjima iz točaka od (a) do (e).  </w:t>
      </w:r>
    </w:p>
    <w:p w14:paraId="296A6151" w14:textId="5AD73E8F" w:rsidR="00BB70BF" w:rsidRPr="002505FA" w:rsidRDefault="00BB70BF" w:rsidP="0079377D">
      <w:p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EUIPO  financijski podupire ove projekte u mjeri u kojoj je to potrebno kako bi se osiguralo učinkovito sudjelovanje središnjih ureda za industrijsko vlasništvo država članica i Ureda Beneluksa za intelektualno vlasništvo u tim projektima. Ta financijska potpora može biti u obliku bespovratnih sredstava i doprinosa u naravi</w:t>
      </w:r>
      <w:r w:rsidR="00767519">
        <w:rPr>
          <w:rFonts w:ascii="Times New Roman" w:hAnsi="Times New Roman" w:cs="Times New Roman"/>
          <w:sz w:val="24"/>
          <w:szCs w:val="24"/>
        </w:rPr>
        <w:t>, a</w:t>
      </w:r>
      <w:r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767519">
        <w:rPr>
          <w:rFonts w:ascii="Times New Roman" w:hAnsi="Times New Roman" w:cs="Times New Roman"/>
          <w:sz w:val="24"/>
          <w:szCs w:val="24"/>
        </w:rPr>
        <w:t>k</w:t>
      </w:r>
      <w:r w:rsidRPr="002505FA">
        <w:rPr>
          <w:rFonts w:ascii="Times New Roman" w:hAnsi="Times New Roman" w:cs="Times New Roman"/>
          <w:sz w:val="24"/>
          <w:szCs w:val="24"/>
        </w:rPr>
        <w:t>orisnici bespovratnih sredstava su središnji uredi za industrijsko vlasništvo država članica i Ured Beneluksa za intelektualno vlasništvo. Bespovratna sredstva mogu se dodijeliti bez poziva za dostavu prijedloga u skladu s financijskim pravilima primjenjivima na EUIPO i s načelima postupaka dodjele bespovratnih sredstava sadržanima u Uredbi (EU, Euratom) br. 966/2012 Europskog parlamenta i Vijeća te u Delegiranoj uredbi Komisije (EU) br. 1268/2012. Uz to, EUIPO  i relevantna nadležna tijela država članica dobrovoljno međusobno surađuju na promicanju podizanja svijesti o sustavu žigova i borbi protiv krivotvorenja. Takva suradnja uključuje projekte koji su posebno usmjereni na provedbu uspostavljenih standarda i prakse, kao i na organiziranje obrazovnih aktivnosti i aktivnosti osposobljavanja. Financijska potpora za te projekte primjenjuj</w:t>
      </w:r>
      <w:r w:rsidR="005C1265" w:rsidRPr="002505FA">
        <w:rPr>
          <w:rFonts w:ascii="Times New Roman" w:hAnsi="Times New Roman" w:cs="Times New Roman"/>
          <w:sz w:val="24"/>
          <w:szCs w:val="24"/>
        </w:rPr>
        <w:t>e</w:t>
      </w:r>
      <w:r w:rsidRPr="002505FA">
        <w:rPr>
          <w:rFonts w:ascii="Times New Roman" w:hAnsi="Times New Roman" w:cs="Times New Roman"/>
          <w:sz w:val="24"/>
          <w:szCs w:val="24"/>
        </w:rPr>
        <w:t xml:space="preserve"> se na odgovarajući način kao i za prethodno navedene projekte.</w:t>
      </w:r>
    </w:p>
    <w:p w14:paraId="71242881" w14:textId="0916DE34" w:rsidR="00BB70BF" w:rsidRPr="002505FA" w:rsidRDefault="00BB70BF" w:rsidP="0079377D">
      <w:p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Financijski rashodi za ove aktivnosti financiraju se iz posebnih namjenskih prihoda temeljem namjenskih uplata Ureda Europske unije za intelektualno vlasništva (izvor 43), a planirana su sukladno ugovorenim aktivnostima koje se financiraju temeljem potpisanih ugovora za svaku godinu planiranja iz kojih proizlaze obveze DZIV-a. </w:t>
      </w:r>
    </w:p>
    <w:p w14:paraId="1332D307" w14:textId="3E914957" w:rsidR="00BB70BF" w:rsidRPr="002505FA" w:rsidRDefault="00BB70BF" w:rsidP="00ED6007">
      <w:p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b/>
          <w:sz w:val="24"/>
          <w:szCs w:val="24"/>
        </w:rPr>
        <w:t>Planirana ugovorna suradnja u 202</w:t>
      </w:r>
      <w:r w:rsidR="006B0FBF" w:rsidRPr="002505FA">
        <w:rPr>
          <w:rFonts w:ascii="Times New Roman" w:hAnsi="Times New Roman" w:cs="Times New Roman"/>
          <w:b/>
          <w:sz w:val="24"/>
          <w:szCs w:val="24"/>
        </w:rPr>
        <w:t>4</w:t>
      </w:r>
      <w:r w:rsidRPr="002505FA">
        <w:rPr>
          <w:rFonts w:ascii="Times New Roman" w:hAnsi="Times New Roman" w:cs="Times New Roman"/>
          <w:b/>
          <w:sz w:val="24"/>
          <w:szCs w:val="24"/>
        </w:rPr>
        <w:t>.</w:t>
      </w:r>
      <w:r w:rsidRPr="002505FA">
        <w:rPr>
          <w:rFonts w:ascii="Times New Roman" w:hAnsi="Times New Roman" w:cs="Times New Roman"/>
          <w:sz w:val="24"/>
          <w:szCs w:val="24"/>
        </w:rPr>
        <w:t xml:space="preserve"> godini obuhvaća suradnju na sljedećim programima: ECP1 </w:t>
      </w:r>
      <w:r w:rsidR="00C95CEA">
        <w:rPr>
          <w:rFonts w:ascii="Times New Roman" w:hAnsi="Times New Roman" w:cs="Times New Roman"/>
          <w:sz w:val="24"/>
          <w:szCs w:val="24"/>
        </w:rPr>
        <w:t xml:space="preserve">- </w:t>
      </w:r>
      <w:r w:rsidRPr="002505FA">
        <w:rPr>
          <w:rFonts w:ascii="Times New Roman" w:hAnsi="Times New Roman" w:cs="Times New Roman"/>
          <w:sz w:val="24"/>
          <w:szCs w:val="24"/>
        </w:rPr>
        <w:t>Konsolidacija implementacije alata Europske mreže za intelektualno vlasništvo, ECP2</w:t>
      </w:r>
      <w:r w:rsidR="00C95CEA">
        <w:rPr>
          <w:rFonts w:ascii="Times New Roman" w:hAnsi="Times New Roman" w:cs="Times New Roman"/>
          <w:sz w:val="24"/>
          <w:szCs w:val="24"/>
        </w:rPr>
        <w:t xml:space="preserve"> -</w:t>
      </w:r>
      <w:r w:rsidRPr="002505FA">
        <w:rPr>
          <w:rFonts w:ascii="Times New Roman" w:hAnsi="Times New Roman" w:cs="Times New Roman"/>
          <w:sz w:val="24"/>
          <w:szCs w:val="24"/>
        </w:rPr>
        <w:t xml:space="preserve"> Unaprjeđenje i nadogradnja alata Europske mreže intelektualnog vlasništva (EUIPN),</w:t>
      </w:r>
      <w:r w:rsidR="00AA7D91" w:rsidRPr="002505FA">
        <w:rPr>
          <w:rFonts w:ascii="Times New Roman" w:hAnsi="Times New Roman" w:cs="Times New Roman"/>
          <w:sz w:val="24"/>
          <w:szCs w:val="24"/>
        </w:rPr>
        <w:t xml:space="preserve"> ECP3</w:t>
      </w:r>
      <w:r w:rsidR="00C95CEA">
        <w:rPr>
          <w:rFonts w:ascii="Times New Roman" w:hAnsi="Times New Roman" w:cs="Times New Roman"/>
          <w:sz w:val="24"/>
          <w:szCs w:val="24"/>
        </w:rPr>
        <w:t xml:space="preserve"> -</w:t>
      </w:r>
      <w:r w:rsidR="00AA7D91" w:rsidRPr="002505FA">
        <w:rPr>
          <w:rFonts w:ascii="Times New Roman" w:hAnsi="Times New Roman" w:cs="Times New Roman"/>
          <w:sz w:val="24"/>
          <w:szCs w:val="24"/>
        </w:rPr>
        <w:t xml:space="preserve"> Novi alati, </w:t>
      </w:r>
      <w:r w:rsidRPr="002505FA">
        <w:rPr>
          <w:rFonts w:ascii="Times New Roman" w:hAnsi="Times New Roman" w:cs="Times New Roman"/>
          <w:sz w:val="24"/>
          <w:szCs w:val="24"/>
        </w:rPr>
        <w:t xml:space="preserve">ECP4 </w:t>
      </w:r>
      <w:r w:rsidR="00C95CEA">
        <w:rPr>
          <w:rFonts w:ascii="Times New Roman" w:hAnsi="Times New Roman" w:cs="Times New Roman"/>
          <w:sz w:val="24"/>
          <w:szCs w:val="24"/>
        </w:rPr>
        <w:t xml:space="preserve">- </w:t>
      </w:r>
      <w:r w:rsidRPr="002505FA">
        <w:rPr>
          <w:rFonts w:ascii="Times New Roman" w:hAnsi="Times New Roman" w:cs="Times New Roman"/>
          <w:sz w:val="24"/>
          <w:szCs w:val="24"/>
        </w:rPr>
        <w:t xml:space="preserve">Konvergencija praksi, ECP5 </w:t>
      </w:r>
      <w:r w:rsidR="00C95CEA">
        <w:rPr>
          <w:rFonts w:ascii="Times New Roman" w:hAnsi="Times New Roman" w:cs="Times New Roman"/>
          <w:sz w:val="24"/>
          <w:szCs w:val="24"/>
        </w:rPr>
        <w:t xml:space="preserve">- </w:t>
      </w:r>
      <w:r w:rsidRPr="002505FA">
        <w:rPr>
          <w:rFonts w:ascii="Times New Roman" w:hAnsi="Times New Roman" w:cs="Times New Roman"/>
          <w:sz w:val="24"/>
          <w:szCs w:val="24"/>
        </w:rPr>
        <w:t xml:space="preserve">Održivost mreže, ECP6 </w:t>
      </w:r>
      <w:r w:rsidR="00C95CEA">
        <w:rPr>
          <w:rFonts w:ascii="Times New Roman" w:hAnsi="Times New Roman" w:cs="Times New Roman"/>
          <w:sz w:val="24"/>
          <w:szCs w:val="24"/>
        </w:rPr>
        <w:t xml:space="preserve">- </w:t>
      </w:r>
      <w:r w:rsidRPr="002505FA">
        <w:rPr>
          <w:rFonts w:ascii="Times New Roman" w:hAnsi="Times New Roman" w:cs="Times New Roman"/>
          <w:sz w:val="24"/>
          <w:szCs w:val="24"/>
        </w:rPr>
        <w:t>Potpora malim i srednjim poduzećima</w:t>
      </w:r>
      <w:r w:rsidR="00AA7D91" w:rsidRPr="002505FA">
        <w:rPr>
          <w:rFonts w:ascii="Times New Roman" w:hAnsi="Times New Roman" w:cs="Times New Roman"/>
          <w:sz w:val="24"/>
          <w:szCs w:val="24"/>
        </w:rPr>
        <w:t xml:space="preserve">, ECP7 </w:t>
      </w:r>
      <w:r w:rsidR="00C95CEA">
        <w:rPr>
          <w:rFonts w:ascii="Times New Roman" w:hAnsi="Times New Roman" w:cs="Times New Roman"/>
          <w:sz w:val="24"/>
          <w:szCs w:val="24"/>
        </w:rPr>
        <w:t xml:space="preserve">- </w:t>
      </w:r>
      <w:r w:rsidR="00AA7D91" w:rsidRPr="002505FA">
        <w:rPr>
          <w:rFonts w:ascii="Times New Roman" w:hAnsi="Times New Roman" w:cs="Times New Roman"/>
          <w:sz w:val="24"/>
          <w:szCs w:val="24"/>
          <w:lang w:eastAsia="hr-HR"/>
        </w:rPr>
        <w:t xml:space="preserve">Potpora provedbi </w:t>
      </w:r>
      <w:r w:rsidR="00C95CEA">
        <w:rPr>
          <w:rFonts w:ascii="Times New Roman" w:hAnsi="Times New Roman" w:cs="Times New Roman"/>
          <w:sz w:val="24"/>
          <w:szCs w:val="24"/>
          <w:lang w:eastAsia="hr-HR"/>
        </w:rPr>
        <w:t xml:space="preserve">Direktive </w:t>
      </w:r>
      <w:r w:rsidR="00C95CEA" w:rsidRPr="00C95CEA">
        <w:rPr>
          <w:rFonts w:ascii="Times New Roman" w:hAnsi="Times New Roman" w:cs="Times New Roman"/>
          <w:sz w:val="24"/>
          <w:szCs w:val="24"/>
          <w:lang w:eastAsia="hr-HR"/>
        </w:rPr>
        <w:t>o usklađivanju zakonodavstava država članica o žigovima</w:t>
      </w:r>
      <w:r w:rsidR="00C95CE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A7D91" w:rsidRPr="002505FA">
        <w:rPr>
          <w:rFonts w:ascii="Times New Roman" w:hAnsi="Times New Roman" w:cs="Times New Roman"/>
          <w:sz w:val="24"/>
          <w:szCs w:val="24"/>
          <w:lang w:eastAsia="hr-HR"/>
        </w:rPr>
        <w:t>s alatima i osposobljavanjem te zakonodavnim i praktičnim repozitorijem intelektualnog vlasništva</w:t>
      </w:r>
      <w:r w:rsidR="00C95CEA">
        <w:rPr>
          <w:rFonts w:ascii="Times New Roman" w:hAnsi="Times New Roman" w:cs="Times New Roman"/>
          <w:sz w:val="24"/>
          <w:szCs w:val="24"/>
          <w:lang w:eastAsia="hr-HR"/>
        </w:rPr>
        <w:t>, te</w:t>
      </w:r>
      <w:r w:rsidR="00AA7D91" w:rsidRPr="002505F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2505FA">
        <w:rPr>
          <w:rFonts w:ascii="Times New Roman" w:hAnsi="Times New Roman" w:cs="Times New Roman"/>
          <w:sz w:val="24"/>
          <w:szCs w:val="24"/>
        </w:rPr>
        <w:t xml:space="preserve"> ECP8 </w:t>
      </w:r>
      <w:r w:rsidR="00C95CEA">
        <w:rPr>
          <w:rFonts w:ascii="Times New Roman" w:hAnsi="Times New Roman" w:cs="Times New Roman"/>
          <w:sz w:val="24"/>
          <w:szCs w:val="24"/>
        </w:rPr>
        <w:t>– Suradničke usluge</w:t>
      </w:r>
      <w:r w:rsidRPr="002505FA">
        <w:rPr>
          <w:rFonts w:ascii="Times New Roman" w:hAnsi="Times New Roman" w:cs="Times New Roman"/>
          <w:sz w:val="24"/>
          <w:szCs w:val="24"/>
        </w:rPr>
        <w:t>. Navedeni programi provode se putem projekata i aktivnosti koji se ugovaraju za svaku kalendarsku godinu.</w:t>
      </w:r>
    </w:p>
    <w:p w14:paraId="1FD67841" w14:textId="745BBCB9" w:rsidR="00BB70BF" w:rsidRPr="002505FA" w:rsidRDefault="00BB70BF" w:rsidP="0079377D">
      <w:p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Najznačajniji rashodi u 202</w:t>
      </w:r>
      <w:r w:rsidR="006B0FBF" w:rsidRPr="002505FA">
        <w:rPr>
          <w:rFonts w:ascii="Times New Roman" w:hAnsi="Times New Roman" w:cs="Times New Roman"/>
          <w:sz w:val="24"/>
          <w:szCs w:val="24"/>
        </w:rPr>
        <w:t>4</w:t>
      </w:r>
      <w:r w:rsidRPr="002505FA">
        <w:rPr>
          <w:rFonts w:ascii="Times New Roman" w:hAnsi="Times New Roman" w:cs="Times New Roman"/>
          <w:sz w:val="24"/>
          <w:szCs w:val="24"/>
        </w:rPr>
        <w:t xml:space="preserve">. godini planiraju se za </w:t>
      </w:r>
      <w:r w:rsidR="002006B6" w:rsidRPr="002505FA">
        <w:rPr>
          <w:rFonts w:ascii="Times New Roman" w:hAnsi="Times New Roman" w:cs="Times New Roman"/>
          <w:sz w:val="24"/>
          <w:szCs w:val="24"/>
        </w:rPr>
        <w:t>računalne usluge</w:t>
      </w:r>
      <w:r w:rsidR="00C95CEA">
        <w:rPr>
          <w:rFonts w:ascii="Times New Roman" w:hAnsi="Times New Roman" w:cs="Times New Roman"/>
          <w:sz w:val="24"/>
          <w:szCs w:val="24"/>
        </w:rPr>
        <w:t xml:space="preserve"> razvoja unaprijeđenog informacijskog sustava za upravljanje digitalnim dokumentima, </w:t>
      </w:r>
      <w:r w:rsidR="00C34DFE" w:rsidRPr="002505FA">
        <w:rPr>
          <w:rFonts w:ascii="Times New Roman" w:hAnsi="Times New Roman" w:cs="Times New Roman"/>
          <w:sz w:val="24"/>
          <w:szCs w:val="24"/>
        </w:rPr>
        <w:t xml:space="preserve"> troškove održavanja </w:t>
      </w:r>
      <w:r w:rsidR="00C95CEA">
        <w:rPr>
          <w:rFonts w:ascii="Times New Roman" w:hAnsi="Times New Roman" w:cs="Times New Roman"/>
          <w:sz w:val="24"/>
          <w:szCs w:val="24"/>
        </w:rPr>
        <w:t>informatičke</w:t>
      </w:r>
      <w:r w:rsidR="00C95CEA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C34DFE" w:rsidRPr="002505FA">
        <w:rPr>
          <w:rFonts w:ascii="Times New Roman" w:hAnsi="Times New Roman" w:cs="Times New Roman"/>
          <w:sz w:val="24"/>
          <w:szCs w:val="24"/>
        </w:rPr>
        <w:t xml:space="preserve">opreme i </w:t>
      </w:r>
      <w:r w:rsidR="0097325B">
        <w:rPr>
          <w:rFonts w:ascii="Times New Roman" w:hAnsi="Times New Roman" w:cs="Times New Roman"/>
          <w:sz w:val="24"/>
          <w:szCs w:val="24"/>
        </w:rPr>
        <w:t>korisničkih e-usluga</w:t>
      </w:r>
      <w:r w:rsidR="00C34DFE" w:rsidRPr="002505FA">
        <w:rPr>
          <w:rFonts w:ascii="Times New Roman" w:hAnsi="Times New Roman" w:cs="Times New Roman"/>
          <w:sz w:val="24"/>
          <w:szCs w:val="24"/>
        </w:rPr>
        <w:t xml:space="preserve">, troškove </w:t>
      </w:r>
      <w:r w:rsidRPr="002505FA">
        <w:rPr>
          <w:rFonts w:ascii="Times New Roman" w:hAnsi="Times New Roman" w:cs="Times New Roman"/>
          <w:sz w:val="24"/>
          <w:szCs w:val="24"/>
        </w:rPr>
        <w:t>razvoja informacijskog sustava u svrhu provedbe zajedničkih projekata razvoja digitalnih alata,  razmjene podataka i informacija</w:t>
      </w:r>
      <w:r w:rsidR="0097325B">
        <w:rPr>
          <w:rFonts w:ascii="Times New Roman" w:hAnsi="Times New Roman" w:cs="Times New Roman"/>
          <w:sz w:val="24"/>
          <w:szCs w:val="24"/>
        </w:rPr>
        <w:t xml:space="preserve"> te</w:t>
      </w:r>
      <w:r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97325B" w:rsidRPr="002505FA">
        <w:rPr>
          <w:rFonts w:ascii="Times New Roman" w:hAnsi="Times New Roman" w:cs="Times New Roman"/>
          <w:sz w:val="24"/>
          <w:szCs w:val="24"/>
        </w:rPr>
        <w:t>osiguravanj</w:t>
      </w:r>
      <w:r w:rsidR="0097325B">
        <w:rPr>
          <w:rFonts w:ascii="Times New Roman" w:hAnsi="Times New Roman" w:cs="Times New Roman"/>
          <w:sz w:val="24"/>
          <w:szCs w:val="24"/>
        </w:rPr>
        <w:t>a visoke</w:t>
      </w:r>
      <w:r w:rsidR="0097325B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Pr="002505FA">
        <w:rPr>
          <w:rFonts w:ascii="Times New Roman" w:hAnsi="Times New Roman" w:cs="Times New Roman"/>
          <w:sz w:val="24"/>
          <w:szCs w:val="24"/>
        </w:rPr>
        <w:t xml:space="preserve">kvalitete podataka i visoke razine dostupnosti zajedničkih korisničkih servisa </w:t>
      </w:r>
      <w:proofErr w:type="spellStart"/>
      <w:r w:rsidRPr="002505FA">
        <w:rPr>
          <w:rFonts w:ascii="Times New Roman" w:hAnsi="Times New Roman" w:cs="Times New Roman"/>
          <w:sz w:val="24"/>
          <w:szCs w:val="24"/>
        </w:rPr>
        <w:t>TMView</w:t>
      </w:r>
      <w:proofErr w:type="spellEnd"/>
      <w:r w:rsidRPr="002505F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505FA">
        <w:rPr>
          <w:rFonts w:ascii="Times New Roman" w:hAnsi="Times New Roman" w:cs="Times New Roman"/>
          <w:sz w:val="24"/>
          <w:szCs w:val="24"/>
        </w:rPr>
        <w:t>DesignView</w:t>
      </w:r>
      <w:proofErr w:type="spellEnd"/>
      <w:r w:rsidRPr="002505FA">
        <w:rPr>
          <w:rFonts w:ascii="Times New Roman" w:hAnsi="Times New Roman" w:cs="Times New Roman"/>
          <w:sz w:val="24"/>
          <w:szCs w:val="24"/>
        </w:rPr>
        <w:t xml:space="preserve"> (sukladno s EUIPO-om ugovorenim standardima održavanja funkcionalnosti tih servisa, tzv. SLA), </w:t>
      </w:r>
      <w:r w:rsidR="0097325B">
        <w:rPr>
          <w:rFonts w:ascii="Times New Roman" w:hAnsi="Times New Roman" w:cs="Times New Roman"/>
          <w:sz w:val="24"/>
          <w:szCs w:val="24"/>
        </w:rPr>
        <w:t>kao i održavanja sustava upravljanja informacijskom sigurnosti.</w:t>
      </w:r>
    </w:p>
    <w:p w14:paraId="01D01EBF" w14:textId="7E63EC74" w:rsidR="00BB70BF" w:rsidRPr="002505FA" w:rsidRDefault="00BB70BF" w:rsidP="00793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lastRenderedPageBreak/>
        <w:t xml:space="preserve">Rashodi za nabavu nefinancijske imovine uključuju planirana sredstva u iznosu od  </w:t>
      </w:r>
      <w:r w:rsidR="006B0FBF" w:rsidRPr="002505FA">
        <w:rPr>
          <w:rFonts w:ascii="Times New Roman" w:hAnsi="Times New Roman" w:cs="Times New Roman"/>
          <w:sz w:val="24"/>
          <w:szCs w:val="24"/>
        </w:rPr>
        <w:t>22</w:t>
      </w:r>
      <w:r w:rsidRPr="002505FA">
        <w:rPr>
          <w:rFonts w:ascii="Times New Roman" w:hAnsi="Times New Roman" w:cs="Times New Roman"/>
          <w:sz w:val="24"/>
          <w:szCs w:val="24"/>
        </w:rPr>
        <w:t>.8</w:t>
      </w:r>
      <w:r w:rsidR="006B0FBF" w:rsidRPr="002505FA">
        <w:rPr>
          <w:rFonts w:ascii="Times New Roman" w:hAnsi="Times New Roman" w:cs="Times New Roman"/>
          <w:sz w:val="24"/>
          <w:szCs w:val="24"/>
        </w:rPr>
        <w:t>30</w:t>
      </w:r>
      <w:r w:rsidRPr="002505FA">
        <w:rPr>
          <w:rFonts w:ascii="Times New Roman" w:hAnsi="Times New Roman" w:cs="Times New Roman"/>
          <w:sz w:val="24"/>
          <w:szCs w:val="24"/>
        </w:rPr>
        <w:t xml:space="preserve"> EUR za 202</w:t>
      </w:r>
      <w:r w:rsidR="006B0FBF" w:rsidRPr="002505FA">
        <w:rPr>
          <w:rFonts w:ascii="Times New Roman" w:hAnsi="Times New Roman" w:cs="Times New Roman"/>
          <w:sz w:val="24"/>
          <w:szCs w:val="24"/>
        </w:rPr>
        <w:t>4</w:t>
      </w:r>
      <w:r w:rsidRPr="002505FA">
        <w:rPr>
          <w:rFonts w:ascii="Times New Roman" w:hAnsi="Times New Roman" w:cs="Times New Roman"/>
          <w:sz w:val="24"/>
          <w:szCs w:val="24"/>
        </w:rPr>
        <w:t xml:space="preserve">., </w:t>
      </w:r>
      <w:r w:rsidR="006B0FBF" w:rsidRPr="002505FA">
        <w:rPr>
          <w:rFonts w:ascii="Times New Roman" w:hAnsi="Times New Roman" w:cs="Times New Roman"/>
          <w:sz w:val="24"/>
          <w:szCs w:val="24"/>
        </w:rPr>
        <w:t>38.880</w:t>
      </w:r>
      <w:r w:rsidRPr="002505FA">
        <w:rPr>
          <w:rFonts w:ascii="Times New Roman" w:hAnsi="Times New Roman" w:cs="Times New Roman"/>
          <w:sz w:val="24"/>
          <w:szCs w:val="24"/>
        </w:rPr>
        <w:t xml:space="preserve"> EUR za 202</w:t>
      </w:r>
      <w:r w:rsidR="006B0FBF" w:rsidRPr="002505FA">
        <w:rPr>
          <w:rFonts w:ascii="Times New Roman" w:hAnsi="Times New Roman" w:cs="Times New Roman"/>
          <w:sz w:val="24"/>
          <w:szCs w:val="24"/>
        </w:rPr>
        <w:t>5</w:t>
      </w:r>
      <w:r w:rsidRPr="002505FA">
        <w:rPr>
          <w:rFonts w:ascii="Times New Roman" w:hAnsi="Times New Roman" w:cs="Times New Roman"/>
          <w:sz w:val="24"/>
          <w:szCs w:val="24"/>
        </w:rPr>
        <w:t>.</w:t>
      </w:r>
      <w:r w:rsidR="0003395B" w:rsidRPr="002505FA">
        <w:rPr>
          <w:rFonts w:ascii="Times New Roman" w:hAnsi="Times New Roman" w:cs="Times New Roman"/>
          <w:sz w:val="24"/>
          <w:szCs w:val="24"/>
        </w:rPr>
        <w:t xml:space="preserve"> godinu</w:t>
      </w:r>
      <w:r w:rsidRPr="002505FA">
        <w:rPr>
          <w:rFonts w:ascii="Times New Roman" w:hAnsi="Times New Roman" w:cs="Times New Roman"/>
          <w:sz w:val="24"/>
          <w:szCs w:val="24"/>
        </w:rPr>
        <w:t xml:space="preserve"> te </w:t>
      </w:r>
      <w:r w:rsidR="006B0FBF" w:rsidRPr="002505FA">
        <w:rPr>
          <w:rFonts w:ascii="Times New Roman" w:hAnsi="Times New Roman" w:cs="Times New Roman"/>
          <w:sz w:val="24"/>
          <w:szCs w:val="24"/>
        </w:rPr>
        <w:t>jednako tako 38.880</w:t>
      </w:r>
      <w:r w:rsidRPr="002505FA">
        <w:rPr>
          <w:rFonts w:ascii="Times New Roman" w:hAnsi="Times New Roman" w:cs="Times New Roman"/>
          <w:sz w:val="24"/>
          <w:szCs w:val="24"/>
        </w:rPr>
        <w:t xml:space="preserve"> EUR za 202</w:t>
      </w:r>
      <w:r w:rsidR="006B0FBF" w:rsidRPr="002505FA">
        <w:rPr>
          <w:rFonts w:ascii="Times New Roman" w:hAnsi="Times New Roman" w:cs="Times New Roman"/>
          <w:sz w:val="24"/>
          <w:szCs w:val="24"/>
        </w:rPr>
        <w:t>6</w:t>
      </w:r>
      <w:r w:rsidRPr="002505FA">
        <w:rPr>
          <w:rFonts w:ascii="Times New Roman" w:hAnsi="Times New Roman" w:cs="Times New Roman"/>
          <w:sz w:val="24"/>
          <w:szCs w:val="24"/>
        </w:rPr>
        <w:t>. godinu</w:t>
      </w:r>
      <w:r w:rsidR="006B0FBF" w:rsidRPr="002505FA">
        <w:rPr>
          <w:rFonts w:ascii="Times New Roman" w:hAnsi="Times New Roman" w:cs="Times New Roman"/>
          <w:sz w:val="24"/>
          <w:szCs w:val="24"/>
        </w:rPr>
        <w:t>,</w:t>
      </w:r>
      <w:r w:rsidRPr="002505FA">
        <w:rPr>
          <w:rFonts w:ascii="Times New Roman" w:hAnsi="Times New Roman" w:cs="Times New Roman"/>
          <w:sz w:val="24"/>
          <w:szCs w:val="24"/>
        </w:rPr>
        <w:t xml:space="preserve"> za nabavu potrebne informatičko-komunikacijske opreme (prvenstveno računalne opreme).</w:t>
      </w:r>
    </w:p>
    <w:p w14:paraId="283843A7" w14:textId="77777777" w:rsidR="00BB70BF" w:rsidRPr="002505FA" w:rsidRDefault="00BB70BF" w:rsidP="0079377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1883557" w14:textId="5A732A08" w:rsidR="00BB70BF" w:rsidRPr="002505FA" w:rsidRDefault="00BB70BF" w:rsidP="00793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Za sudjelovanje u programima usklađivanja zajedničke prakse (konvergencija praksi) i </w:t>
      </w:r>
      <w:r w:rsidR="003E2738">
        <w:rPr>
          <w:rFonts w:ascii="Times New Roman" w:hAnsi="Times New Roman" w:cs="Times New Roman"/>
          <w:sz w:val="24"/>
          <w:szCs w:val="24"/>
        </w:rPr>
        <w:t xml:space="preserve">druga </w:t>
      </w:r>
      <w:r w:rsidRPr="002505FA">
        <w:rPr>
          <w:rFonts w:ascii="Times New Roman" w:hAnsi="Times New Roman" w:cs="Times New Roman"/>
          <w:sz w:val="24"/>
          <w:szCs w:val="24"/>
        </w:rPr>
        <w:t xml:space="preserve">službena putovanja vezana uz </w:t>
      </w:r>
      <w:r w:rsidR="003E2738">
        <w:rPr>
          <w:rFonts w:ascii="Times New Roman" w:hAnsi="Times New Roman" w:cs="Times New Roman"/>
          <w:sz w:val="24"/>
          <w:szCs w:val="24"/>
        </w:rPr>
        <w:t>aktivnosti suradnje</w:t>
      </w:r>
      <w:r w:rsidRPr="002505FA">
        <w:rPr>
          <w:rFonts w:ascii="Times New Roman" w:hAnsi="Times New Roman" w:cs="Times New Roman"/>
          <w:sz w:val="24"/>
          <w:szCs w:val="24"/>
        </w:rPr>
        <w:t xml:space="preserve"> planirana su sredstva za službena putovanja i stručno usavršavanje u godišnjem iznosu od  1</w:t>
      </w:r>
      <w:r w:rsidR="006B0FBF" w:rsidRPr="002505FA">
        <w:rPr>
          <w:rFonts w:ascii="Times New Roman" w:hAnsi="Times New Roman" w:cs="Times New Roman"/>
          <w:sz w:val="24"/>
          <w:szCs w:val="24"/>
        </w:rPr>
        <w:t>1</w:t>
      </w:r>
      <w:r w:rsidRPr="002505FA">
        <w:rPr>
          <w:rFonts w:ascii="Times New Roman" w:hAnsi="Times New Roman" w:cs="Times New Roman"/>
          <w:sz w:val="24"/>
          <w:szCs w:val="24"/>
        </w:rPr>
        <w:t>.</w:t>
      </w:r>
      <w:r w:rsidR="006B0FBF" w:rsidRPr="002505FA">
        <w:rPr>
          <w:rFonts w:ascii="Times New Roman" w:hAnsi="Times New Roman" w:cs="Times New Roman"/>
          <w:sz w:val="24"/>
          <w:szCs w:val="24"/>
        </w:rPr>
        <w:t>000</w:t>
      </w:r>
      <w:r w:rsidRPr="002505FA">
        <w:rPr>
          <w:rFonts w:ascii="Times New Roman" w:eastAsia="Times New Roman" w:hAnsi="Times New Roman" w:cs="Times New Roman"/>
          <w:sz w:val="24"/>
          <w:szCs w:val="24"/>
        </w:rPr>
        <w:t xml:space="preserve"> EUR za 202</w:t>
      </w:r>
      <w:r w:rsidR="006B0FBF" w:rsidRPr="002505F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505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0FBF" w:rsidRPr="002505FA">
        <w:rPr>
          <w:rFonts w:ascii="Times New Roman" w:eastAsia="Times New Roman" w:hAnsi="Times New Roman" w:cs="Times New Roman"/>
          <w:sz w:val="24"/>
          <w:szCs w:val="24"/>
        </w:rPr>
        <w:t xml:space="preserve">, 10.000 EUR za </w:t>
      </w:r>
      <w:r w:rsidRPr="002505F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B0FBF" w:rsidRPr="002505F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505FA">
        <w:rPr>
          <w:rFonts w:ascii="Times New Roman" w:eastAsia="Times New Roman" w:hAnsi="Times New Roman" w:cs="Times New Roman"/>
          <w:sz w:val="24"/>
          <w:szCs w:val="24"/>
        </w:rPr>
        <w:t>., i 1</w:t>
      </w:r>
      <w:r w:rsidR="006B0FBF" w:rsidRPr="002505FA">
        <w:rPr>
          <w:rFonts w:ascii="Times New Roman" w:eastAsia="Times New Roman" w:hAnsi="Times New Roman" w:cs="Times New Roman"/>
          <w:sz w:val="24"/>
          <w:szCs w:val="24"/>
        </w:rPr>
        <w:t>5.000</w:t>
      </w:r>
      <w:r w:rsidRPr="002505FA">
        <w:rPr>
          <w:rFonts w:ascii="Times New Roman" w:hAnsi="Times New Roman" w:cs="Times New Roman"/>
          <w:sz w:val="24"/>
          <w:szCs w:val="24"/>
        </w:rPr>
        <w:t xml:space="preserve">  EUR za </w:t>
      </w:r>
      <w:r w:rsidRPr="002505F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B0FBF" w:rsidRPr="002505F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505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395B" w:rsidRPr="00250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5FA">
        <w:rPr>
          <w:rFonts w:ascii="Times New Roman" w:eastAsia="Times New Roman" w:hAnsi="Times New Roman" w:cs="Times New Roman"/>
          <w:sz w:val="24"/>
          <w:szCs w:val="24"/>
        </w:rPr>
        <w:t>godinu</w:t>
      </w:r>
      <w:r w:rsidRPr="002505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7302A7" w14:textId="77777777" w:rsidR="00BB70BF" w:rsidRPr="002505FA" w:rsidRDefault="00BB70BF" w:rsidP="0079377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39956A" w14:textId="1D70DCD8" w:rsidR="00BB70BF" w:rsidRPr="002505FA" w:rsidRDefault="00BB70BF" w:rsidP="0079377D">
      <w:p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 xml:space="preserve">Sredstva u godišnjem iznosu od </w:t>
      </w:r>
      <w:r w:rsidR="00775131" w:rsidRPr="002505FA">
        <w:rPr>
          <w:rFonts w:ascii="Times New Roman" w:hAnsi="Times New Roman" w:cs="Times New Roman"/>
          <w:sz w:val="24"/>
          <w:szCs w:val="24"/>
        </w:rPr>
        <w:t>21.590</w:t>
      </w:r>
      <w:r w:rsidRPr="002505FA">
        <w:rPr>
          <w:rFonts w:ascii="Times New Roman" w:hAnsi="Times New Roman" w:cs="Times New Roman"/>
          <w:sz w:val="24"/>
          <w:szCs w:val="24"/>
        </w:rPr>
        <w:t xml:space="preserve"> EUR planirana su za rashode uslug</w:t>
      </w:r>
      <w:r w:rsidR="003E2738">
        <w:rPr>
          <w:rFonts w:ascii="Times New Roman" w:hAnsi="Times New Roman" w:cs="Times New Roman"/>
          <w:sz w:val="24"/>
          <w:szCs w:val="24"/>
        </w:rPr>
        <w:t>a</w:t>
      </w:r>
      <w:r w:rsidRPr="002505FA">
        <w:rPr>
          <w:rFonts w:ascii="Times New Roman" w:hAnsi="Times New Roman" w:cs="Times New Roman"/>
          <w:sz w:val="24"/>
          <w:szCs w:val="24"/>
        </w:rPr>
        <w:t xml:space="preserve"> promidžbe i informiranja jednako za sve tri godine planiranja. Usluge promidžbe i informiranja uključuju usluge praćenja i analize objava o intelektualnom vlasništvu u medijima radi praćenja učinka djelatnosti i projektnih aktivnosti, u iznosu od </w:t>
      </w:r>
      <w:r w:rsidR="00775131" w:rsidRPr="002505FA">
        <w:rPr>
          <w:rFonts w:ascii="Times New Roman" w:hAnsi="Times New Roman" w:cs="Times New Roman"/>
          <w:sz w:val="24"/>
          <w:szCs w:val="24"/>
        </w:rPr>
        <w:t>5.000</w:t>
      </w:r>
      <w:r w:rsidRPr="002505FA">
        <w:rPr>
          <w:rFonts w:ascii="Times New Roman" w:hAnsi="Times New Roman" w:cs="Times New Roman"/>
          <w:sz w:val="24"/>
          <w:szCs w:val="24"/>
        </w:rPr>
        <w:t xml:space="preserve"> EUR, te usluge provođenja komunikacije u vezi djelatnosti i projektnih aktivnosti na društvenim mrežama, u iznosu od 16.590 EUR.</w:t>
      </w:r>
    </w:p>
    <w:p w14:paraId="5025C7B1" w14:textId="303C9BD5" w:rsidR="00BB70BF" w:rsidRPr="002505FA" w:rsidRDefault="00BB70BF" w:rsidP="0079377D">
      <w:pPr>
        <w:jc w:val="both"/>
        <w:rPr>
          <w:rFonts w:ascii="Times New Roman" w:hAnsi="Times New Roman" w:cs="Times New Roman"/>
          <w:sz w:val="24"/>
          <w:szCs w:val="24"/>
        </w:rPr>
      </w:pPr>
      <w:r w:rsidRPr="002505FA">
        <w:rPr>
          <w:rFonts w:ascii="Times New Roman" w:hAnsi="Times New Roman" w:cs="Times New Roman"/>
          <w:sz w:val="24"/>
          <w:szCs w:val="24"/>
        </w:rPr>
        <w:t>Za informacijsko-promotivne nastupe DZIV-a na javnim priredbama s ciljem poticanja korištenja sustava zaštite intelektualnog vlasništva radi povećanja učinkovitosti inovacijskih i tržišnih aktivnosti poduzeća i drugih subjekata u 202</w:t>
      </w:r>
      <w:r w:rsidR="00775131" w:rsidRPr="002505FA">
        <w:rPr>
          <w:rFonts w:ascii="Times New Roman" w:hAnsi="Times New Roman" w:cs="Times New Roman"/>
          <w:sz w:val="24"/>
          <w:szCs w:val="24"/>
        </w:rPr>
        <w:t>4</w:t>
      </w:r>
      <w:r w:rsidRPr="002505FA">
        <w:rPr>
          <w:rFonts w:ascii="Times New Roman" w:hAnsi="Times New Roman" w:cs="Times New Roman"/>
          <w:sz w:val="24"/>
          <w:szCs w:val="24"/>
        </w:rPr>
        <w:t xml:space="preserve">. godini </w:t>
      </w:r>
      <w:r w:rsidR="002006B6" w:rsidRPr="002505FA">
        <w:rPr>
          <w:rFonts w:ascii="Times New Roman" w:hAnsi="Times New Roman" w:cs="Times New Roman"/>
          <w:sz w:val="24"/>
          <w:szCs w:val="24"/>
        </w:rPr>
        <w:t>(a jednako tako i u 2025., i 2026.</w:t>
      </w:r>
      <w:r w:rsidR="0003395B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2006B6" w:rsidRPr="002505FA">
        <w:rPr>
          <w:rFonts w:ascii="Times New Roman" w:hAnsi="Times New Roman" w:cs="Times New Roman"/>
          <w:sz w:val="24"/>
          <w:szCs w:val="24"/>
        </w:rPr>
        <w:t xml:space="preserve">godini) </w:t>
      </w:r>
      <w:r w:rsidRPr="002505FA">
        <w:rPr>
          <w:rFonts w:ascii="Times New Roman" w:hAnsi="Times New Roman" w:cs="Times New Roman"/>
          <w:sz w:val="24"/>
          <w:szCs w:val="24"/>
        </w:rPr>
        <w:t>planirani su rashodi u ukupno</w:t>
      </w:r>
      <w:r w:rsidR="00937241">
        <w:rPr>
          <w:rFonts w:ascii="Times New Roman" w:hAnsi="Times New Roman" w:cs="Times New Roman"/>
          <w:sz w:val="24"/>
          <w:szCs w:val="24"/>
        </w:rPr>
        <w:t>m</w:t>
      </w:r>
      <w:r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937241">
        <w:rPr>
          <w:rFonts w:ascii="Times New Roman" w:hAnsi="Times New Roman" w:cs="Times New Roman"/>
          <w:sz w:val="24"/>
          <w:szCs w:val="24"/>
        </w:rPr>
        <w:t xml:space="preserve">godišnjem iznosu od </w:t>
      </w:r>
      <w:r w:rsidR="00775131" w:rsidRPr="002505FA">
        <w:rPr>
          <w:rFonts w:ascii="Times New Roman" w:hAnsi="Times New Roman" w:cs="Times New Roman"/>
          <w:sz w:val="24"/>
          <w:szCs w:val="24"/>
        </w:rPr>
        <w:t>1</w:t>
      </w:r>
      <w:r w:rsidR="00782713">
        <w:rPr>
          <w:rFonts w:ascii="Times New Roman" w:hAnsi="Times New Roman" w:cs="Times New Roman"/>
          <w:sz w:val="24"/>
          <w:szCs w:val="24"/>
        </w:rPr>
        <w:t>8</w:t>
      </w:r>
      <w:r w:rsidR="00775131" w:rsidRPr="002505FA">
        <w:rPr>
          <w:rFonts w:ascii="Times New Roman" w:hAnsi="Times New Roman" w:cs="Times New Roman"/>
          <w:sz w:val="24"/>
          <w:szCs w:val="24"/>
        </w:rPr>
        <w:t>.</w:t>
      </w:r>
      <w:r w:rsidR="00782713">
        <w:rPr>
          <w:rFonts w:ascii="Times New Roman" w:hAnsi="Times New Roman" w:cs="Times New Roman"/>
          <w:sz w:val="24"/>
          <w:szCs w:val="24"/>
        </w:rPr>
        <w:t>030</w:t>
      </w:r>
      <w:r w:rsidRPr="002505FA">
        <w:rPr>
          <w:rFonts w:ascii="Times New Roman" w:hAnsi="Times New Roman" w:cs="Times New Roman"/>
          <w:sz w:val="24"/>
          <w:szCs w:val="24"/>
        </w:rPr>
        <w:t xml:space="preserve"> EUR. </w:t>
      </w:r>
      <w:r w:rsidR="00937241">
        <w:rPr>
          <w:rFonts w:ascii="Times New Roman" w:hAnsi="Times New Roman" w:cs="Times New Roman"/>
          <w:sz w:val="24"/>
          <w:szCs w:val="24"/>
        </w:rPr>
        <w:t>Planirani rashodi uključuju</w:t>
      </w:r>
      <w:r w:rsidR="00937241" w:rsidRPr="002505FA">
        <w:rPr>
          <w:rFonts w:ascii="Times New Roman" w:hAnsi="Times New Roman" w:cs="Times New Roman"/>
          <w:sz w:val="24"/>
          <w:szCs w:val="24"/>
        </w:rPr>
        <w:t xml:space="preserve"> </w:t>
      </w:r>
      <w:r w:rsidR="002006B6" w:rsidRPr="002505FA">
        <w:rPr>
          <w:rFonts w:ascii="Times New Roman" w:hAnsi="Times New Roman" w:cs="Times New Roman"/>
          <w:sz w:val="24"/>
          <w:szCs w:val="24"/>
        </w:rPr>
        <w:t>i troškove zakupa prostora i opreme za planirana događanja.</w:t>
      </w:r>
    </w:p>
    <w:p w14:paraId="546AB661" w14:textId="77777777" w:rsidR="00BB70BF" w:rsidRPr="002505FA" w:rsidRDefault="00BB70BF" w:rsidP="0079377D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ascii="Times New Roman" w:hAnsi="Times New Roman" w:cs="Times New Roman"/>
          <w:b/>
          <w:highlight w:val="yellow"/>
        </w:rPr>
      </w:pPr>
    </w:p>
    <w:p w14:paraId="1CE3825B" w14:textId="77777777" w:rsidR="00BB70BF" w:rsidRPr="002505FA" w:rsidRDefault="00BB70BF" w:rsidP="00BB70BF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5FA">
        <w:rPr>
          <w:rFonts w:ascii="Times New Roman" w:eastAsia="Times New Roman" w:hAnsi="Times New Roman" w:cs="Times New Roman"/>
          <w:b/>
          <w:sz w:val="24"/>
          <w:szCs w:val="24"/>
        </w:rP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9A1A1A" w:rsidRPr="002505FA" w14:paraId="56B8D22C" w14:textId="77777777" w:rsidTr="006357A5">
        <w:trPr>
          <w:jc w:val="center"/>
        </w:trPr>
        <w:tc>
          <w:tcPr>
            <w:tcW w:w="2245" w:type="dxa"/>
            <w:shd w:val="clear" w:color="auto" w:fill="B5C0D8"/>
          </w:tcPr>
          <w:p w14:paraId="5F0C8BBD" w14:textId="77777777" w:rsidR="00BB70BF" w:rsidRPr="002505FA" w:rsidRDefault="00BB70BF" w:rsidP="007937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14:paraId="7F59B1B7" w14:textId="77777777" w:rsidR="00BB70BF" w:rsidRPr="002505FA" w:rsidRDefault="00BB70BF" w:rsidP="007937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14:paraId="2F03B470" w14:textId="77777777" w:rsidR="00BB70BF" w:rsidRPr="002505FA" w:rsidRDefault="00BB70BF" w:rsidP="007937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14:paraId="3C2E0960" w14:textId="77777777" w:rsidR="00BB70BF" w:rsidRPr="002505FA" w:rsidRDefault="00BB70BF" w:rsidP="007937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14:paraId="4D2A75CD" w14:textId="77777777" w:rsidR="00BB70BF" w:rsidRPr="002505FA" w:rsidRDefault="00BB70BF" w:rsidP="007937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14:paraId="70F60FB6" w14:textId="0E4DBBDC" w:rsidR="00BB70BF" w:rsidRPr="002505FA" w:rsidRDefault="00BB70BF" w:rsidP="007937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 xml:space="preserve">Ciljana vrijednost </w:t>
            </w:r>
            <w:r w:rsidR="00AE2C1F" w:rsidRPr="002505FA">
              <w:rPr>
                <w:rFonts w:cs="Times New Roman"/>
              </w:rPr>
              <w:t>za 202</w:t>
            </w:r>
            <w:r w:rsidR="00C34DFE" w:rsidRPr="002505FA">
              <w:rPr>
                <w:rFonts w:cs="Times New Roman"/>
              </w:rPr>
              <w:t>4</w:t>
            </w:r>
            <w:r w:rsidR="00AE2C1F" w:rsidRPr="002505FA">
              <w:rPr>
                <w:rFonts w:cs="Times New Roman"/>
              </w:rPr>
              <w:t>.</w:t>
            </w:r>
          </w:p>
        </w:tc>
        <w:tc>
          <w:tcPr>
            <w:tcW w:w="918" w:type="dxa"/>
            <w:shd w:val="clear" w:color="auto" w:fill="B5C0D8"/>
          </w:tcPr>
          <w:p w14:paraId="2AC5BBF2" w14:textId="6448F6F1" w:rsidR="00BB70BF" w:rsidRPr="002505FA" w:rsidRDefault="00BB70BF" w:rsidP="007937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 xml:space="preserve">Ciljana vrijednost </w:t>
            </w:r>
            <w:r w:rsidR="00AE2C1F" w:rsidRPr="002505FA">
              <w:rPr>
                <w:rFonts w:cs="Times New Roman"/>
              </w:rPr>
              <w:t>za 202</w:t>
            </w:r>
            <w:r w:rsidR="00C34DFE" w:rsidRPr="002505FA">
              <w:rPr>
                <w:rFonts w:cs="Times New Roman"/>
              </w:rPr>
              <w:t>5</w:t>
            </w:r>
            <w:r w:rsidR="00AE2C1F" w:rsidRPr="002505FA">
              <w:rPr>
                <w:rFonts w:cs="Times New Roman"/>
              </w:rPr>
              <w:t>.</w:t>
            </w:r>
          </w:p>
        </w:tc>
        <w:tc>
          <w:tcPr>
            <w:tcW w:w="918" w:type="dxa"/>
            <w:shd w:val="clear" w:color="auto" w:fill="B5C0D8"/>
          </w:tcPr>
          <w:p w14:paraId="7EC7EC15" w14:textId="68312F92" w:rsidR="00BB70BF" w:rsidRPr="002505FA" w:rsidRDefault="00BB70BF" w:rsidP="0079377D">
            <w:pPr>
              <w:rPr>
                <w:rFonts w:cs="Times New Roman"/>
              </w:rPr>
            </w:pPr>
            <w:r w:rsidRPr="002505FA">
              <w:rPr>
                <w:rFonts w:cs="Times New Roman"/>
              </w:rPr>
              <w:t xml:space="preserve">Ciljana vrijednost </w:t>
            </w:r>
            <w:r w:rsidR="00AE2C1F" w:rsidRPr="002505FA">
              <w:rPr>
                <w:rFonts w:cs="Times New Roman"/>
              </w:rPr>
              <w:t>za 202</w:t>
            </w:r>
            <w:r w:rsidR="00C34DFE" w:rsidRPr="002505FA">
              <w:rPr>
                <w:rFonts w:cs="Times New Roman"/>
              </w:rPr>
              <w:t>6</w:t>
            </w:r>
            <w:r w:rsidR="00AE2C1F" w:rsidRPr="002505FA">
              <w:rPr>
                <w:rFonts w:cs="Times New Roman"/>
              </w:rPr>
              <w:t>.</w:t>
            </w:r>
          </w:p>
        </w:tc>
      </w:tr>
      <w:tr w:rsidR="009A1A1A" w:rsidRPr="002505FA" w14:paraId="01F81351" w14:textId="77777777" w:rsidTr="006357A5">
        <w:trPr>
          <w:jc w:val="center"/>
        </w:trPr>
        <w:tc>
          <w:tcPr>
            <w:tcW w:w="2245" w:type="dxa"/>
            <w:vAlign w:val="top"/>
          </w:tcPr>
          <w:p w14:paraId="0B63B53C" w14:textId="77777777" w:rsidR="00BB70BF" w:rsidRPr="002505FA" w:rsidRDefault="00BB70BF" w:rsidP="0079377D">
            <w:pPr>
              <w:rPr>
                <w:rFonts w:cs="Times New Roman"/>
                <w:iCs/>
              </w:rPr>
            </w:pPr>
            <w:r w:rsidRPr="002505FA">
              <w:rPr>
                <w:rFonts w:cs="Times New Roman"/>
                <w:iCs/>
              </w:rPr>
              <w:t>Postotak provedenih aktivnosti/projekata u odnosu na planirane temeljem godišnjih ugovora o suradnji s EUIPO-om (godišnje)</w:t>
            </w:r>
          </w:p>
        </w:tc>
        <w:tc>
          <w:tcPr>
            <w:tcW w:w="2245" w:type="dxa"/>
            <w:vAlign w:val="top"/>
          </w:tcPr>
          <w:p w14:paraId="0B2C6AB5" w14:textId="5483291E" w:rsidR="00BB70BF" w:rsidRPr="002505FA" w:rsidRDefault="00AE2C1F" w:rsidP="0079377D">
            <w:pPr>
              <w:rPr>
                <w:rFonts w:cs="Times New Roman"/>
                <w:iCs/>
              </w:rPr>
            </w:pPr>
            <w:r w:rsidRPr="002505FA">
              <w:rPr>
                <w:rFonts w:cs="Times New Roman"/>
                <w:iCs/>
                <w:szCs w:val="20"/>
              </w:rPr>
              <w:t>Postotak provedenih aktivnosti/projekata</w:t>
            </w:r>
            <w:r w:rsidR="00BB70BF" w:rsidRPr="002505FA">
              <w:rPr>
                <w:rFonts w:cs="Times New Roman"/>
                <w:iCs/>
              </w:rPr>
              <w:t xml:space="preserve"> u odnosu na planirane temeljem godišnjih ugovora o suradnji s EUIPO-om</w:t>
            </w:r>
          </w:p>
        </w:tc>
        <w:tc>
          <w:tcPr>
            <w:tcW w:w="918" w:type="dxa"/>
          </w:tcPr>
          <w:p w14:paraId="4206662A" w14:textId="77777777" w:rsidR="00BB70BF" w:rsidRPr="002505FA" w:rsidRDefault="00BB70BF" w:rsidP="0079377D">
            <w:pPr>
              <w:rPr>
                <w:rFonts w:cs="Times New Roman"/>
                <w:iCs/>
              </w:rPr>
            </w:pPr>
            <w:r w:rsidRPr="002505FA">
              <w:rPr>
                <w:rFonts w:cs="Times New Roman"/>
                <w:iCs/>
              </w:rPr>
              <w:t>%</w:t>
            </w:r>
          </w:p>
        </w:tc>
        <w:tc>
          <w:tcPr>
            <w:tcW w:w="918" w:type="dxa"/>
          </w:tcPr>
          <w:p w14:paraId="0A8A2CE2" w14:textId="64E0C14C" w:rsidR="00BB70BF" w:rsidRPr="002505FA" w:rsidRDefault="00BB70BF" w:rsidP="0079377D">
            <w:pPr>
              <w:rPr>
                <w:rFonts w:cs="Times New Roman"/>
                <w:iCs/>
              </w:rPr>
            </w:pPr>
            <w:r w:rsidRPr="002505FA">
              <w:rPr>
                <w:rFonts w:cs="Times New Roman"/>
                <w:iCs/>
              </w:rPr>
              <w:t>100</w:t>
            </w:r>
          </w:p>
          <w:p w14:paraId="71E8827C" w14:textId="52CF27D3" w:rsidR="00BB70BF" w:rsidRPr="002505FA" w:rsidRDefault="00BB70BF" w:rsidP="0079377D">
            <w:pPr>
              <w:rPr>
                <w:rFonts w:cs="Times New Roman"/>
                <w:iCs/>
              </w:rPr>
            </w:pPr>
            <w:r w:rsidRPr="002505FA">
              <w:rPr>
                <w:rFonts w:cs="Times New Roman"/>
                <w:iCs/>
              </w:rPr>
              <w:t>(</w:t>
            </w:r>
            <w:r w:rsidR="00341063" w:rsidRPr="002505FA">
              <w:rPr>
                <w:rFonts w:cs="Times New Roman"/>
                <w:iCs/>
              </w:rPr>
              <w:t>202</w:t>
            </w:r>
            <w:r w:rsidR="00C34DFE" w:rsidRPr="002505FA">
              <w:rPr>
                <w:rFonts w:cs="Times New Roman"/>
                <w:iCs/>
              </w:rPr>
              <w:t>2</w:t>
            </w:r>
            <w:r w:rsidR="00341063" w:rsidRPr="002505FA">
              <w:rPr>
                <w:rFonts w:cs="Times New Roman"/>
                <w:iCs/>
              </w:rPr>
              <w:t>.</w:t>
            </w:r>
            <w:r w:rsidR="00AE2C1F" w:rsidRPr="002505FA">
              <w:rPr>
                <w:rFonts w:cs="Times New Roman"/>
                <w:iCs/>
              </w:rPr>
              <w:t>)</w:t>
            </w:r>
          </w:p>
        </w:tc>
        <w:tc>
          <w:tcPr>
            <w:tcW w:w="918" w:type="dxa"/>
          </w:tcPr>
          <w:p w14:paraId="7FE2CB93" w14:textId="77777777" w:rsidR="00BB70BF" w:rsidRPr="002505FA" w:rsidRDefault="00BB70BF" w:rsidP="0079377D">
            <w:pPr>
              <w:rPr>
                <w:rFonts w:cs="Times New Roman"/>
                <w:iCs/>
              </w:rPr>
            </w:pPr>
            <w:r w:rsidRPr="002505FA">
              <w:rPr>
                <w:rFonts w:cs="Times New Roman"/>
                <w:iCs/>
              </w:rPr>
              <w:t>DZIV</w:t>
            </w:r>
          </w:p>
        </w:tc>
        <w:tc>
          <w:tcPr>
            <w:tcW w:w="918" w:type="dxa"/>
          </w:tcPr>
          <w:p w14:paraId="3AA8C269" w14:textId="77777777" w:rsidR="00BB70BF" w:rsidRPr="002505FA" w:rsidRDefault="00BB70BF" w:rsidP="0079377D">
            <w:pPr>
              <w:rPr>
                <w:rFonts w:cs="Times New Roman"/>
                <w:iCs/>
              </w:rPr>
            </w:pPr>
            <w:r w:rsidRPr="002505FA">
              <w:rPr>
                <w:rFonts w:cs="Times New Roman"/>
                <w:iCs/>
              </w:rPr>
              <w:t>100</w:t>
            </w:r>
          </w:p>
        </w:tc>
        <w:tc>
          <w:tcPr>
            <w:tcW w:w="918" w:type="dxa"/>
          </w:tcPr>
          <w:p w14:paraId="7737014B" w14:textId="77777777" w:rsidR="00BB70BF" w:rsidRPr="002505FA" w:rsidRDefault="00BB70BF" w:rsidP="0079377D">
            <w:pPr>
              <w:rPr>
                <w:rFonts w:cs="Times New Roman"/>
                <w:iCs/>
              </w:rPr>
            </w:pPr>
            <w:r w:rsidRPr="002505FA">
              <w:rPr>
                <w:rFonts w:cs="Times New Roman"/>
                <w:iCs/>
              </w:rPr>
              <w:t>100</w:t>
            </w:r>
          </w:p>
        </w:tc>
        <w:tc>
          <w:tcPr>
            <w:tcW w:w="918" w:type="dxa"/>
          </w:tcPr>
          <w:p w14:paraId="1439A192" w14:textId="77777777" w:rsidR="00BB70BF" w:rsidRPr="002505FA" w:rsidRDefault="00BB70BF" w:rsidP="0079377D">
            <w:pPr>
              <w:rPr>
                <w:rFonts w:cs="Times New Roman"/>
                <w:iCs/>
              </w:rPr>
            </w:pPr>
            <w:r w:rsidRPr="002505FA">
              <w:rPr>
                <w:rFonts w:cs="Times New Roman"/>
                <w:iCs/>
              </w:rPr>
              <w:t>100</w:t>
            </w:r>
          </w:p>
        </w:tc>
      </w:tr>
    </w:tbl>
    <w:p w14:paraId="2509C386" w14:textId="77777777" w:rsidR="00215A47" w:rsidRPr="002505FA" w:rsidRDefault="00215A47" w:rsidP="0079377D">
      <w:pPr>
        <w:jc w:val="both"/>
        <w:rPr>
          <w:rFonts w:ascii="Times New Roman" w:hAnsi="Times New Roman" w:cs="Times New Roman"/>
        </w:rPr>
      </w:pPr>
    </w:p>
    <w:sectPr w:rsidR="00215A47" w:rsidRPr="002505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BF5C" w14:textId="77777777" w:rsidR="003C31C8" w:rsidRDefault="003C31C8" w:rsidP="009A1A1A">
      <w:pPr>
        <w:spacing w:after="0" w:line="240" w:lineRule="auto"/>
      </w:pPr>
      <w:r>
        <w:separator/>
      </w:r>
    </w:p>
  </w:endnote>
  <w:endnote w:type="continuationSeparator" w:id="0">
    <w:p w14:paraId="6FA9FCA2" w14:textId="77777777" w:rsidR="003C31C8" w:rsidRDefault="003C31C8" w:rsidP="009A1A1A">
      <w:pPr>
        <w:spacing w:after="0" w:line="240" w:lineRule="auto"/>
      </w:pPr>
      <w:r>
        <w:continuationSeparator/>
      </w:r>
    </w:p>
  </w:endnote>
  <w:endnote w:type="continuationNotice" w:id="1">
    <w:p w14:paraId="2FA3B20A" w14:textId="77777777" w:rsidR="003C31C8" w:rsidRDefault="003C31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515545"/>
      <w:docPartObj>
        <w:docPartGallery w:val="Page Numbers (Bottom of Page)"/>
        <w:docPartUnique/>
      </w:docPartObj>
    </w:sdtPr>
    <w:sdtEndPr/>
    <w:sdtContent>
      <w:p w14:paraId="5C5B4DCA" w14:textId="056A789C" w:rsidR="00E018D6" w:rsidRDefault="00E018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AB2">
          <w:rPr>
            <w:noProof/>
          </w:rPr>
          <w:t>2</w:t>
        </w:r>
        <w:r>
          <w:fldChar w:fldCharType="end"/>
        </w:r>
      </w:p>
    </w:sdtContent>
  </w:sdt>
  <w:p w14:paraId="477CCB95" w14:textId="7F00CA3C" w:rsidR="009A1A1A" w:rsidRDefault="009A1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7968" w14:textId="77777777" w:rsidR="003C31C8" w:rsidRDefault="003C31C8" w:rsidP="009A1A1A">
      <w:pPr>
        <w:spacing w:after="0" w:line="240" w:lineRule="auto"/>
      </w:pPr>
      <w:r>
        <w:separator/>
      </w:r>
    </w:p>
  </w:footnote>
  <w:footnote w:type="continuationSeparator" w:id="0">
    <w:p w14:paraId="60A3E704" w14:textId="77777777" w:rsidR="003C31C8" w:rsidRDefault="003C31C8" w:rsidP="009A1A1A">
      <w:pPr>
        <w:spacing w:after="0" w:line="240" w:lineRule="auto"/>
      </w:pPr>
      <w:r>
        <w:continuationSeparator/>
      </w:r>
    </w:p>
  </w:footnote>
  <w:footnote w:type="continuationNotice" w:id="1">
    <w:p w14:paraId="2B4ABDC5" w14:textId="77777777" w:rsidR="003C31C8" w:rsidRDefault="003C31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30B"/>
    <w:multiLevelType w:val="hybridMultilevel"/>
    <w:tmpl w:val="D936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F5440"/>
    <w:multiLevelType w:val="hybridMultilevel"/>
    <w:tmpl w:val="E9702F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672E"/>
    <w:multiLevelType w:val="hybridMultilevel"/>
    <w:tmpl w:val="35205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0B48"/>
    <w:multiLevelType w:val="hybridMultilevel"/>
    <w:tmpl w:val="E3B89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D7AAA"/>
    <w:multiLevelType w:val="hybridMultilevel"/>
    <w:tmpl w:val="5322944C"/>
    <w:lvl w:ilvl="0" w:tplc="5AFAC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B7C5A"/>
    <w:multiLevelType w:val="hybridMultilevel"/>
    <w:tmpl w:val="C26C284E"/>
    <w:lvl w:ilvl="0" w:tplc="23C22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6862"/>
    <w:multiLevelType w:val="hybridMultilevel"/>
    <w:tmpl w:val="95BA7C40"/>
    <w:lvl w:ilvl="0" w:tplc="5AFAC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F13AF"/>
    <w:multiLevelType w:val="hybridMultilevel"/>
    <w:tmpl w:val="A07E8EB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72E07"/>
    <w:multiLevelType w:val="hybridMultilevel"/>
    <w:tmpl w:val="B11AA1BA"/>
    <w:lvl w:ilvl="0" w:tplc="5F7211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93943"/>
    <w:multiLevelType w:val="hybridMultilevel"/>
    <w:tmpl w:val="06A2F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15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5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BF"/>
    <w:rsid w:val="000060DD"/>
    <w:rsid w:val="00013AFC"/>
    <w:rsid w:val="00020497"/>
    <w:rsid w:val="00021B5C"/>
    <w:rsid w:val="00030327"/>
    <w:rsid w:val="0003395B"/>
    <w:rsid w:val="000408D5"/>
    <w:rsid w:val="00062691"/>
    <w:rsid w:val="000746BD"/>
    <w:rsid w:val="00087D53"/>
    <w:rsid w:val="00095E09"/>
    <w:rsid w:val="000C3375"/>
    <w:rsid w:val="000D08A5"/>
    <w:rsid w:val="000D1149"/>
    <w:rsid w:val="000D6FAB"/>
    <w:rsid w:val="00105F84"/>
    <w:rsid w:val="0011483D"/>
    <w:rsid w:val="0011706F"/>
    <w:rsid w:val="00123CFD"/>
    <w:rsid w:val="00126901"/>
    <w:rsid w:val="00127651"/>
    <w:rsid w:val="00143E99"/>
    <w:rsid w:val="00154735"/>
    <w:rsid w:val="001548F6"/>
    <w:rsid w:val="00175515"/>
    <w:rsid w:val="00176A88"/>
    <w:rsid w:val="00191B6D"/>
    <w:rsid w:val="001A6B7F"/>
    <w:rsid w:val="001A76E5"/>
    <w:rsid w:val="001B0F38"/>
    <w:rsid w:val="001B0F7A"/>
    <w:rsid w:val="001B3688"/>
    <w:rsid w:val="001C1EB2"/>
    <w:rsid w:val="001E6A9C"/>
    <w:rsid w:val="001F63EF"/>
    <w:rsid w:val="002006B6"/>
    <w:rsid w:val="00215A47"/>
    <w:rsid w:val="00217FC6"/>
    <w:rsid w:val="00220BF7"/>
    <w:rsid w:val="00225FE5"/>
    <w:rsid w:val="00227D81"/>
    <w:rsid w:val="002313B2"/>
    <w:rsid w:val="0024303A"/>
    <w:rsid w:val="002505FA"/>
    <w:rsid w:val="00251508"/>
    <w:rsid w:val="0025361E"/>
    <w:rsid w:val="00257C5F"/>
    <w:rsid w:val="00260F00"/>
    <w:rsid w:val="002612CC"/>
    <w:rsid w:val="00261B1C"/>
    <w:rsid w:val="00273025"/>
    <w:rsid w:val="0027358D"/>
    <w:rsid w:val="0028554C"/>
    <w:rsid w:val="002A0E78"/>
    <w:rsid w:val="002A0F5D"/>
    <w:rsid w:val="002A58B4"/>
    <w:rsid w:val="002B0199"/>
    <w:rsid w:val="002C4D35"/>
    <w:rsid w:val="002C624D"/>
    <w:rsid w:val="002C699D"/>
    <w:rsid w:val="002C7121"/>
    <w:rsid w:val="002D444E"/>
    <w:rsid w:val="002D4D98"/>
    <w:rsid w:val="002E6017"/>
    <w:rsid w:val="002F2B2D"/>
    <w:rsid w:val="0030113A"/>
    <w:rsid w:val="00302D5C"/>
    <w:rsid w:val="00303FFB"/>
    <w:rsid w:val="003156CF"/>
    <w:rsid w:val="003239CD"/>
    <w:rsid w:val="00324025"/>
    <w:rsid w:val="0033209F"/>
    <w:rsid w:val="00341063"/>
    <w:rsid w:val="00375127"/>
    <w:rsid w:val="003964BF"/>
    <w:rsid w:val="003B0C88"/>
    <w:rsid w:val="003B2CF0"/>
    <w:rsid w:val="003C0148"/>
    <w:rsid w:val="003C31C8"/>
    <w:rsid w:val="003C7401"/>
    <w:rsid w:val="003D1B06"/>
    <w:rsid w:val="003D5046"/>
    <w:rsid w:val="003E2738"/>
    <w:rsid w:val="003E6151"/>
    <w:rsid w:val="003F184E"/>
    <w:rsid w:val="00412F2D"/>
    <w:rsid w:val="00415D11"/>
    <w:rsid w:val="00420FCD"/>
    <w:rsid w:val="00421175"/>
    <w:rsid w:val="00423907"/>
    <w:rsid w:val="00426BA4"/>
    <w:rsid w:val="00427059"/>
    <w:rsid w:val="004331A6"/>
    <w:rsid w:val="00440AB2"/>
    <w:rsid w:val="0046109A"/>
    <w:rsid w:val="004644D8"/>
    <w:rsid w:val="00474EAA"/>
    <w:rsid w:val="004A05F6"/>
    <w:rsid w:val="004A3D7D"/>
    <w:rsid w:val="004A3F20"/>
    <w:rsid w:val="004A74E6"/>
    <w:rsid w:val="004A7AFD"/>
    <w:rsid w:val="004C1D9F"/>
    <w:rsid w:val="004C3A59"/>
    <w:rsid w:val="004E02C5"/>
    <w:rsid w:val="004E16C8"/>
    <w:rsid w:val="004E2B07"/>
    <w:rsid w:val="004E6D43"/>
    <w:rsid w:val="005004C0"/>
    <w:rsid w:val="0050185B"/>
    <w:rsid w:val="005046F1"/>
    <w:rsid w:val="00512C8E"/>
    <w:rsid w:val="00513E91"/>
    <w:rsid w:val="00534274"/>
    <w:rsid w:val="005503D0"/>
    <w:rsid w:val="00553C25"/>
    <w:rsid w:val="005540EB"/>
    <w:rsid w:val="005574F3"/>
    <w:rsid w:val="005617B1"/>
    <w:rsid w:val="00562A9D"/>
    <w:rsid w:val="00562EC6"/>
    <w:rsid w:val="00571253"/>
    <w:rsid w:val="005813CC"/>
    <w:rsid w:val="00585281"/>
    <w:rsid w:val="005C1265"/>
    <w:rsid w:val="005C1B16"/>
    <w:rsid w:val="005C65B0"/>
    <w:rsid w:val="005D15F7"/>
    <w:rsid w:val="005F1414"/>
    <w:rsid w:val="00602F59"/>
    <w:rsid w:val="00621EAA"/>
    <w:rsid w:val="00621F06"/>
    <w:rsid w:val="00623CB3"/>
    <w:rsid w:val="00627A54"/>
    <w:rsid w:val="00631017"/>
    <w:rsid w:val="00631530"/>
    <w:rsid w:val="006342E3"/>
    <w:rsid w:val="00635777"/>
    <w:rsid w:val="00670EDD"/>
    <w:rsid w:val="00685841"/>
    <w:rsid w:val="00687B0B"/>
    <w:rsid w:val="006B0FBF"/>
    <w:rsid w:val="006C74DD"/>
    <w:rsid w:val="006D1752"/>
    <w:rsid w:val="006D672E"/>
    <w:rsid w:val="006E16F5"/>
    <w:rsid w:val="006E2D23"/>
    <w:rsid w:val="00700CAD"/>
    <w:rsid w:val="00703212"/>
    <w:rsid w:val="0072122D"/>
    <w:rsid w:val="007256CD"/>
    <w:rsid w:val="007423A8"/>
    <w:rsid w:val="00742DF9"/>
    <w:rsid w:val="00750974"/>
    <w:rsid w:val="0075209D"/>
    <w:rsid w:val="007604B3"/>
    <w:rsid w:val="00764E12"/>
    <w:rsid w:val="00767519"/>
    <w:rsid w:val="00770FBD"/>
    <w:rsid w:val="00772B8D"/>
    <w:rsid w:val="00775131"/>
    <w:rsid w:val="0077791E"/>
    <w:rsid w:val="00782713"/>
    <w:rsid w:val="0079377D"/>
    <w:rsid w:val="007A5112"/>
    <w:rsid w:val="007A5D48"/>
    <w:rsid w:val="007B2BC1"/>
    <w:rsid w:val="007C06A8"/>
    <w:rsid w:val="007C1DA3"/>
    <w:rsid w:val="007C54E2"/>
    <w:rsid w:val="007C5C25"/>
    <w:rsid w:val="007C77A8"/>
    <w:rsid w:val="007D3613"/>
    <w:rsid w:val="007D5FBD"/>
    <w:rsid w:val="007E4CE2"/>
    <w:rsid w:val="007F2E08"/>
    <w:rsid w:val="007F4E5E"/>
    <w:rsid w:val="007F610C"/>
    <w:rsid w:val="008043DB"/>
    <w:rsid w:val="00804BFE"/>
    <w:rsid w:val="00805D13"/>
    <w:rsid w:val="008223B8"/>
    <w:rsid w:val="00824598"/>
    <w:rsid w:val="008245F8"/>
    <w:rsid w:val="00827E98"/>
    <w:rsid w:val="00846E65"/>
    <w:rsid w:val="00856F70"/>
    <w:rsid w:val="00864679"/>
    <w:rsid w:val="008750BD"/>
    <w:rsid w:val="00877E94"/>
    <w:rsid w:val="0088128F"/>
    <w:rsid w:val="0089622D"/>
    <w:rsid w:val="008A0749"/>
    <w:rsid w:val="008A29FE"/>
    <w:rsid w:val="008A3D05"/>
    <w:rsid w:val="008A423D"/>
    <w:rsid w:val="008A59DD"/>
    <w:rsid w:val="008D2901"/>
    <w:rsid w:val="008F35BF"/>
    <w:rsid w:val="00910DFA"/>
    <w:rsid w:val="009119C3"/>
    <w:rsid w:val="0091655A"/>
    <w:rsid w:val="00921BDE"/>
    <w:rsid w:val="00924EAD"/>
    <w:rsid w:val="00926159"/>
    <w:rsid w:val="00937241"/>
    <w:rsid w:val="00942E5F"/>
    <w:rsid w:val="009474FB"/>
    <w:rsid w:val="00962348"/>
    <w:rsid w:val="0097325B"/>
    <w:rsid w:val="00987229"/>
    <w:rsid w:val="009919D6"/>
    <w:rsid w:val="00992606"/>
    <w:rsid w:val="009A1A1A"/>
    <w:rsid w:val="009A65A8"/>
    <w:rsid w:val="009B3931"/>
    <w:rsid w:val="009C12FF"/>
    <w:rsid w:val="009D4C68"/>
    <w:rsid w:val="009D71EA"/>
    <w:rsid w:val="009D7A1C"/>
    <w:rsid w:val="009E2203"/>
    <w:rsid w:val="009E371E"/>
    <w:rsid w:val="009E663E"/>
    <w:rsid w:val="009F1309"/>
    <w:rsid w:val="00A06E69"/>
    <w:rsid w:val="00A17868"/>
    <w:rsid w:val="00A367F7"/>
    <w:rsid w:val="00A36CFD"/>
    <w:rsid w:val="00A45644"/>
    <w:rsid w:val="00A47137"/>
    <w:rsid w:val="00A61783"/>
    <w:rsid w:val="00A61830"/>
    <w:rsid w:val="00A70138"/>
    <w:rsid w:val="00A73EBD"/>
    <w:rsid w:val="00A829C7"/>
    <w:rsid w:val="00A836C6"/>
    <w:rsid w:val="00A877C1"/>
    <w:rsid w:val="00A93563"/>
    <w:rsid w:val="00AA54EA"/>
    <w:rsid w:val="00AA570B"/>
    <w:rsid w:val="00AA6FFB"/>
    <w:rsid w:val="00AA72CD"/>
    <w:rsid w:val="00AA7D91"/>
    <w:rsid w:val="00AD0E29"/>
    <w:rsid w:val="00AD402D"/>
    <w:rsid w:val="00AE2C1F"/>
    <w:rsid w:val="00AE3C5D"/>
    <w:rsid w:val="00AF3DAD"/>
    <w:rsid w:val="00AF7180"/>
    <w:rsid w:val="00AF7BE3"/>
    <w:rsid w:val="00B003E4"/>
    <w:rsid w:val="00B01207"/>
    <w:rsid w:val="00B12DEF"/>
    <w:rsid w:val="00B14AB4"/>
    <w:rsid w:val="00B17760"/>
    <w:rsid w:val="00B20C3F"/>
    <w:rsid w:val="00B233DE"/>
    <w:rsid w:val="00B2430C"/>
    <w:rsid w:val="00B36FFF"/>
    <w:rsid w:val="00B54126"/>
    <w:rsid w:val="00B65B13"/>
    <w:rsid w:val="00B66B70"/>
    <w:rsid w:val="00B7195A"/>
    <w:rsid w:val="00B7598C"/>
    <w:rsid w:val="00B908B4"/>
    <w:rsid w:val="00B94A75"/>
    <w:rsid w:val="00BB47B9"/>
    <w:rsid w:val="00BB70BF"/>
    <w:rsid w:val="00BB7C8F"/>
    <w:rsid w:val="00BC75C2"/>
    <w:rsid w:val="00BD277F"/>
    <w:rsid w:val="00BD7FDD"/>
    <w:rsid w:val="00BE741E"/>
    <w:rsid w:val="00BF168D"/>
    <w:rsid w:val="00BF3A22"/>
    <w:rsid w:val="00C00C53"/>
    <w:rsid w:val="00C102D0"/>
    <w:rsid w:val="00C17FC9"/>
    <w:rsid w:val="00C30A98"/>
    <w:rsid w:val="00C31659"/>
    <w:rsid w:val="00C319E9"/>
    <w:rsid w:val="00C34DFE"/>
    <w:rsid w:val="00C41A8B"/>
    <w:rsid w:val="00C41AC8"/>
    <w:rsid w:val="00C42191"/>
    <w:rsid w:val="00C4317C"/>
    <w:rsid w:val="00C473DB"/>
    <w:rsid w:val="00C57FE9"/>
    <w:rsid w:val="00C60400"/>
    <w:rsid w:val="00C61940"/>
    <w:rsid w:val="00C84559"/>
    <w:rsid w:val="00C87D10"/>
    <w:rsid w:val="00C958EE"/>
    <w:rsid w:val="00C95CEA"/>
    <w:rsid w:val="00CA09DC"/>
    <w:rsid w:val="00CA79D3"/>
    <w:rsid w:val="00CB393E"/>
    <w:rsid w:val="00CB764D"/>
    <w:rsid w:val="00CC071C"/>
    <w:rsid w:val="00CC0E77"/>
    <w:rsid w:val="00CD191D"/>
    <w:rsid w:val="00CD4322"/>
    <w:rsid w:val="00CE13FF"/>
    <w:rsid w:val="00CF458B"/>
    <w:rsid w:val="00D0647F"/>
    <w:rsid w:val="00D104F9"/>
    <w:rsid w:val="00D12C92"/>
    <w:rsid w:val="00D21177"/>
    <w:rsid w:val="00D55546"/>
    <w:rsid w:val="00D5678D"/>
    <w:rsid w:val="00D70548"/>
    <w:rsid w:val="00D750FB"/>
    <w:rsid w:val="00D76ADE"/>
    <w:rsid w:val="00D776B2"/>
    <w:rsid w:val="00D97106"/>
    <w:rsid w:val="00DA1C31"/>
    <w:rsid w:val="00DA37B4"/>
    <w:rsid w:val="00DA7AFE"/>
    <w:rsid w:val="00DB176A"/>
    <w:rsid w:val="00DB2F1C"/>
    <w:rsid w:val="00DB5C08"/>
    <w:rsid w:val="00DC2FED"/>
    <w:rsid w:val="00DC36BF"/>
    <w:rsid w:val="00DC6492"/>
    <w:rsid w:val="00DF3E0E"/>
    <w:rsid w:val="00DF6413"/>
    <w:rsid w:val="00DF7221"/>
    <w:rsid w:val="00E018D6"/>
    <w:rsid w:val="00E10F32"/>
    <w:rsid w:val="00E16FD6"/>
    <w:rsid w:val="00E214E5"/>
    <w:rsid w:val="00E34DAE"/>
    <w:rsid w:val="00E45A20"/>
    <w:rsid w:val="00E541C6"/>
    <w:rsid w:val="00E553B1"/>
    <w:rsid w:val="00E575F1"/>
    <w:rsid w:val="00E81ECE"/>
    <w:rsid w:val="00EA20A0"/>
    <w:rsid w:val="00EA4030"/>
    <w:rsid w:val="00EA40FC"/>
    <w:rsid w:val="00EB6311"/>
    <w:rsid w:val="00ED2B9A"/>
    <w:rsid w:val="00ED6007"/>
    <w:rsid w:val="00EE33DC"/>
    <w:rsid w:val="00EF05CF"/>
    <w:rsid w:val="00EF0A99"/>
    <w:rsid w:val="00F12286"/>
    <w:rsid w:val="00F17D37"/>
    <w:rsid w:val="00F365F9"/>
    <w:rsid w:val="00F51C89"/>
    <w:rsid w:val="00F55444"/>
    <w:rsid w:val="00F815A6"/>
    <w:rsid w:val="00F90785"/>
    <w:rsid w:val="00F96C13"/>
    <w:rsid w:val="00FB79FE"/>
    <w:rsid w:val="00FC2E3D"/>
    <w:rsid w:val="00FC731C"/>
    <w:rsid w:val="00FD00BC"/>
    <w:rsid w:val="00FD4E6D"/>
    <w:rsid w:val="00FE2F77"/>
    <w:rsid w:val="00FF2625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7516"/>
  <w15:chartTrackingRefBased/>
  <w15:docId w15:val="{69FC222E-3C6F-42F3-90F4-D167A9C3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A1A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spacing w:after="120" w:line="288" w:lineRule="auto"/>
      <w:outlineLvl w:val="2"/>
    </w:pPr>
    <w:rPr>
      <w:rFonts w:ascii="Times New Roman" w:eastAsia="Times New Roman" w:hAnsi="Times New Roman" w:cs="Arial"/>
      <w:b/>
      <w:iCs/>
      <w:spacing w:val="20"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A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Tablice">
    <w:name w:val="StilTablice"/>
    <w:basedOn w:val="TableNormal"/>
    <w:uiPriority w:val="99"/>
    <w:rsid w:val="00BB70BF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customStyle="1" w:styleId="Heading3Char">
    <w:name w:val="Heading 3 Char"/>
    <w:basedOn w:val="DefaultParagraphFont"/>
    <w:link w:val="Heading3"/>
    <w:rsid w:val="009A1A1A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A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nhideWhenUsed/>
    <w:rsid w:val="009A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1A1A"/>
  </w:style>
  <w:style w:type="table" w:styleId="TableGrid">
    <w:name w:val="Table Grid"/>
    <w:basedOn w:val="TableNormal"/>
    <w:uiPriority w:val="39"/>
    <w:rsid w:val="009A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1A"/>
    <w:rPr>
      <w:rFonts w:ascii="Tahoma" w:hAnsi="Tahoma" w:cs="Tahoma"/>
      <w:sz w:val="16"/>
      <w:szCs w:val="16"/>
    </w:rPr>
  </w:style>
  <w:style w:type="paragraph" w:customStyle="1" w:styleId="CellHeader">
    <w:name w:val="CellHeader"/>
    <w:basedOn w:val="Normal"/>
    <w:qFormat/>
    <w:rsid w:val="009A1A1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bCs/>
      <w:sz w:val="20"/>
      <w:lang w:val="sl-SI" w:eastAsia="hr-HR"/>
    </w:rPr>
  </w:style>
  <w:style w:type="paragraph" w:customStyle="1" w:styleId="CellColumn">
    <w:name w:val="CellColumn"/>
    <w:basedOn w:val="CellHeader"/>
    <w:qFormat/>
    <w:rsid w:val="009A1A1A"/>
  </w:style>
  <w:style w:type="character" w:styleId="CommentReference">
    <w:name w:val="annotation reference"/>
    <w:basedOn w:val="DefaultParagraphFont"/>
    <w:uiPriority w:val="99"/>
    <w:semiHidden/>
    <w:unhideWhenUsed/>
    <w:rsid w:val="009A1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A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1A"/>
  </w:style>
  <w:style w:type="table" w:customStyle="1" w:styleId="StilTablice1">
    <w:name w:val="StilTablice1"/>
    <w:basedOn w:val="TableNormal"/>
    <w:uiPriority w:val="99"/>
    <w:rsid w:val="009A1A1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styleId="Revision">
    <w:name w:val="Revision"/>
    <w:hidden/>
    <w:uiPriority w:val="99"/>
    <w:semiHidden/>
    <w:rsid w:val="009A1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39ED-9BF2-4C86-9F20-AD2B5703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Tušek</dc:creator>
  <cp:keywords/>
  <dc:description/>
  <cp:lastModifiedBy>Tatjana Kostel Radošević</cp:lastModifiedBy>
  <cp:revision>7</cp:revision>
  <cp:lastPrinted>2024-01-12T10:35:00Z</cp:lastPrinted>
  <dcterms:created xsi:type="dcterms:W3CDTF">2023-10-19T11:04:00Z</dcterms:created>
  <dcterms:modified xsi:type="dcterms:W3CDTF">2024-01-12T11:32:00Z</dcterms:modified>
</cp:coreProperties>
</file>