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030E7" w14:paraId="267A43D8" w14:textId="77777777">
        <w:trPr>
          <w:tblCellSpacing w:w="60" w:type="dxa"/>
        </w:trPr>
        <w:tc>
          <w:tcPr>
            <w:tcW w:w="1200" w:type="pct"/>
            <w:shd w:val="clear" w:color="auto" w:fill="E7F0F9"/>
          </w:tcPr>
          <w:p w14:paraId="1322C733" w14:textId="77777777" w:rsidR="007030E7" w:rsidRDefault="00296248">
            <w:pPr>
              <w:spacing w:after="0" w:line="240" w:lineRule="auto"/>
            </w:pPr>
            <w:r>
              <w:rPr>
                <w:b/>
              </w:rPr>
              <w:t>RKP broj</w:t>
            </w:r>
          </w:p>
        </w:tc>
        <w:tc>
          <w:tcPr>
            <w:tcW w:w="0" w:type="auto"/>
            <w:shd w:val="clear" w:color="auto" w:fill="E7F0F9"/>
          </w:tcPr>
          <w:p w14:paraId="3840BC08" w14:textId="77777777" w:rsidR="007030E7" w:rsidRDefault="00296248">
            <w:pPr>
              <w:spacing w:after="0" w:line="240" w:lineRule="auto"/>
            </w:pPr>
            <w:r>
              <w:t>6179</w:t>
            </w:r>
          </w:p>
        </w:tc>
      </w:tr>
      <w:tr w:rsidR="007030E7" w14:paraId="2D27C6C3" w14:textId="77777777">
        <w:trPr>
          <w:tblCellSpacing w:w="60" w:type="dxa"/>
        </w:trPr>
        <w:tc>
          <w:tcPr>
            <w:tcW w:w="1200" w:type="pct"/>
            <w:shd w:val="clear" w:color="auto" w:fill="E7F0F9"/>
          </w:tcPr>
          <w:p w14:paraId="3B896D24" w14:textId="77777777" w:rsidR="007030E7" w:rsidRDefault="00296248">
            <w:pPr>
              <w:spacing w:after="0" w:line="240" w:lineRule="auto"/>
            </w:pPr>
            <w:r>
              <w:rPr>
                <w:b/>
              </w:rPr>
              <w:t>Naziv obveznika</w:t>
            </w:r>
          </w:p>
        </w:tc>
        <w:tc>
          <w:tcPr>
            <w:tcW w:w="0" w:type="auto"/>
            <w:shd w:val="clear" w:color="auto" w:fill="E7F0F9"/>
          </w:tcPr>
          <w:p w14:paraId="222CD659" w14:textId="77777777" w:rsidR="007030E7" w:rsidRDefault="00296248">
            <w:pPr>
              <w:spacing w:after="0" w:line="240" w:lineRule="auto"/>
            </w:pPr>
            <w:r>
              <w:t>DRŽAVNI ZAVOD ZA INTELEKTUALNO VLASNIŠTVO</w:t>
            </w:r>
          </w:p>
        </w:tc>
      </w:tr>
      <w:tr w:rsidR="007030E7" w14:paraId="017E77CF" w14:textId="77777777">
        <w:trPr>
          <w:tblCellSpacing w:w="60" w:type="dxa"/>
        </w:trPr>
        <w:tc>
          <w:tcPr>
            <w:tcW w:w="1200" w:type="pct"/>
            <w:shd w:val="clear" w:color="auto" w:fill="E7F0F9"/>
          </w:tcPr>
          <w:p w14:paraId="6A00E3AE" w14:textId="77777777" w:rsidR="007030E7" w:rsidRDefault="00296248">
            <w:pPr>
              <w:spacing w:after="0" w:line="240" w:lineRule="auto"/>
            </w:pPr>
            <w:r>
              <w:rPr>
                <w:b/>
              </w:rPr>
              <w:t>Razina</w:t>
            </w:r>
          </w:p>
        </w:tc>
        <w:tc>
          <w:tcPr>
            <w:tcW w:w="0" w:type="auto"/>
            <w:shd w:val="clear" w:color="auto" w:fill="E7F0F9"/>
          </w:tcPr>
          <w:p w14:paraId="3F2B76EF" w14:textId="77777777" w:rsidR="007030E7" w:rsidRDefault="00296248">
            <w:pPr>
              <w:spacing w:after="0" w:line="240" w:lineRule="auto"/>
            </w:pPr>
            <w:r>
              <w:t>11</w:t>
            </w:r>
          </w:p>
        </w:tc>
      </w:tr>
    </w:tbl>
    <w:p w14:paraId="6BC6F087" w14:textId="77777777" w:rsidR="007030E7" w:rsidRDefault="00296248">
      <w:r>
        <w:br/>
      </w:r>
    </w:p>
    <w:p w14:paraId="4A064AF4" w14:textId="77777777" w:rsidR="007030E7" w:rsidRDefault="00296248">
      <w:pPr>
        <w:spacing w:line="240" w:lineRule="auto"/>
        <w:jc w:val="center"/>
      </w:pPr>
      <w:r>
        <w:rPr>
          <w:b/>
          <w:sz w:val="28"/>
        </w:rPr>
        <w:t>BILJEŠKE UZ FINANCIJSKE IZVJEŠTAJE</w:t>
      </w:r>
    </w:p>
    <w:p w14:paraId="6E7644D6" w14:textId="77777777" w:rsidR="007030E7" w:rsidRDefault="00296248">
      <w:pPr>
        <w:spacing w:line="240" w:lineRule="auto"/>
        <w:jc w:val="center"/>
      </w:pPr>
      <w:r>
        <w:rPr>
          <w:b/>
          <w:sz w:val="28"/>
        </w:rPr>
        <w:t>ZA RAZDOBLJE</w:t>
      </w:r>
    </w:p>
    <w:p w14:paraId="4A3BA98C" w14:textId="77777777" w:rsidR="007030E7" w:rsidRDefault="00296248">
      <w:pPr>
        <w:spacing w:line="240" w:lineRule="auto"/>
        <w:jc w:val="center"/>
      </w:pPr>
      <w:r>
        <w:rPr>
          <w:b/>
          <w:sz w:val="28"/>
        </w:rPr>
        <w:t>I - XII 2025.</w:t>
      </w:r>
    </w:p>
    <w:p w14:paraId="6DE43799" w14:textId="77777777" w:rsidR="007030E7" w:rsidRDefault="007030E7"/>
    <w:p w14:paraId="6735DD51" w14:textId="77777777" w:rsidR="007030E7" w:rsidRDefault="00296248">
      <w:pPr>
        <w:keepNext/>
        <w:spacing w:line="240" w:lineRule="auto"/>
        <w:jc w:val="center"/>
      </w:pPr>
      <w:r>
        <w:rPr>
          <w:b/>
          <w:sz w:val="28"/>
        </w:rPr>
        <w:t>Izvještaj o prihodima i rashodima, primicima i izdacima</w:t>
      </w:r>
    </w:p>
    <w:p w14:paraId="18786CA1" w14:textId="77777777" w:rsidR="007030E7" w:rsidRDefault="00296248">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0D1D2F82" w14:textId="77777777">
        <w:trPr>
          <w:cantSplit/>
        </w:trPr>
        <w:tc>
          <w:tcPr>
            <w:tcW w:w="700" w:type="dxa"/>
            <w:shd w:val="clear" w:color="auto" w:fill="E7F0F9"/>
            <w:tcMar>
              <w:top w:w="0" w:type="dxa"/>
              <w:bottom w:w="0" w:type="dxa"/>
            </w:tcMar>
            <w:vAlign w:val="center"/>
          </w:tcPr>
          <w:p w14:paraId="5EEC2E29"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B3B449"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1822BE"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F9C525"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0CC222"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8053D7" w14:textId="77777777" w:rsidR="007030E7" w:rsidRDefault="00296248">
            <w:pPr>
              <w:keepNext/>
              <w:keepLines/>
              <w:spacing w:after="0" w:line="240" w:lineRule="auto"/>
              <w:jc w:val="center"/>
            </w:pPr>
            <w:r>
              <w:rPr>
                <w:b/>
                <w:sz w:val="18"/>
              </w:rPr>
              <w:t>Indeks (%)</w:t>
            </w:r>
          </w:p>
        </w:tc>
      </w:tr>
      <w:tr w:rsidR="007030E7" w14:paraId="3B316B06" w14:textId="77777777">
        <w:trPr>
          <w:cantSplit/>
          <w:trHeight w:val="560"/>
        </w:trPr>
        <w:tc>
          <w:tcPr>
            <w:tcW w:w="700" w:type="dxa"/>
            <w:tcMar>
              <w:top w:w="0" w:type="dxa"/>
              <w:bottom w:w="0" w:type="dxa"/>
            </w:tcMar>
            <w:vAlign w:val="center"/>
          </w:tcPr>
          <w:p w14:paraId="33B43DE2" w14:textId="77777777" w:rsidR="007030E7" w:rsidRDefault="00296248">
            <w:pPr>
              <w:keepNext/>
              <w:keepLines/>
              <w:spacing w:after="0" w:line="240" w:lineRule="auto"/>
            </w:pPr>
            <w:r>
              <w:rPr>
                <w:sz w:val="18"/>
              </w:rPr>
              <w:t>6</w:t>
            </w:r>
          </w:p>
        </w:tc>
        <w:tc>
          <w:tcPr>
            <w:tcW w:w="3180" w:type="dxa"/>
            <w:tcMar>
              <w:top w:w="0" w:type="dxa"/>
              <w:bottom w:w="0" w:type="dxa"/>
            </w:tcMar>
            <w:vAlign w:val="center"/>
          </w:tcPr>
          <w:p w14:paraId="24B6CEA9" w14:textId="77777777" w:rsidR="007030E7" w:rsidRDefault="00296248">
            <w:pPr>
              <w:keepNext/>
              <w:keepLines/>
              <w:spacing w:after="0" w:line="240" w:lineRule="auto"/>
            </w:pPr>
            <w:r>
              <w:rPr>
                <w:sz w:val="18"/>
              </w:rPr>
              <w:t>PRIHODI POSLOVANJA (šifre 61+62+63+64+65+66+67+68)</w:t>
            </w:r>
          </w:p>
        </w:tc>
        <w:tc>
          <w:tcPr>
            <w:tcW w:w="700" w:type="dxa"/>
            <w:tcMar>
              <w:top w:w="0" w:type="dxa"/>
              <w:bottom w:w="0" w:type="dxa"/>
            </w:tcMar>
            <w:vAlign w:val="center"/>
          </w:tcPr>
          <w:p w14:paraId="1422EEC8" w14:textId="77777777" w:rsidR="007030E7" w:rsidRDefault="00296248">
            <w:pPr>
              <w:keepNext/>
              <w:keepLines/>
              <w:spacing w:after="0" w:line="240" w:lineRule="auto"/>
            </w:pPr>
            <w:r>
              <w:rPr>
                <w:sz w:val="18"/>
              </w:rPr>
              <w:t>6</w:t>
            </w:r>
          </w:p>
        </w:tc>
        <w:tc>
          <w:tcPr>
            <w:tcW w:w="1860" w:type="dxa"/>
            <w:tcMar>
              <w:top w:w="0" w:type="dxa"/>
              <w:bottom w:w="0" w:type="dxa"/>
            </w:tcMar>
            <w:vAlign w:val="center"/>
          </w:tcPr>
          <w:p w14:paraId="1B2F29C7" w14:textId="77777777" w:rsidR="007030E7" w:rsidRDefault="00296248">
            <w:pPr>
              <w:keepNext/>
              <w:keepLines/>
              <w:spacing w:after="0" w:line="240" w:lineRule="auto"/>
              <w:jc w:val="right"/>
            </w:pPr>
            <w:r>
              <w:rPr>
                <w:sz w:val="18"/>
              </w:rPr>
              <w:t>4.414.776,27</w:t>
            </w:r>
          </w:p>
        </w:tc>
        <w:tc>
          <w:tcPr>
            <w:tcW w:w="1860" w:type="dxa"/>
            <w:tcMar>
              <w:top w:w="0" w:type="dxa"/>
              <w:bottom w:w="0" w:type="dxa"/>
            </w:tcMar>
            <w:vAlign w:val="center"/>
          </w:tcPr>
          <w:p w14:paraId="7B6276D4" w14:textId="77777777" w:rsidR="007030E7" w:rsidRDefault="00296248">
            <w:pPr>
              <w:keepNext/>
              <w:keepLines/>
              <w:spacing w:after="0" w:line="240" w:lineRule="auto"/>
              <w:jc w:val="right"/>
            </w:pPr>
            <w:r>
              <w:rPr>
                <w:sz w:val="18"/>
              </w:rPr>
              <w:t>4.971.897,06</w:t>
            </w:r>
          </w:p>
        </w:tc>
        <w:tc>
          <w:tcPr>
            <w:tcW w:w="700" w:type="dxa"/>
            <w:tcMar>
              <w:top w:w="0" w:type="dxa"/>
              <w:bottom w:w="0" w:type="dxa"/>
            </w:tcMar>
            <w:vAlign w:val="center"/>
          </w:tcPr>
          <w:p w14:paraId="0B75A46C" w14:textId="77777777" w:rsidR="007030E7" w:rsidRDefault="00296248">
            <w:pPr>
              <w:keepNext/>
              <w:keepLines/>
              <w:spacing w:after="0" w:line="240" w:lineRule="auto"/>
              <w:jc w:val="right"/>
            </w:pPr>
            <w:r>
              <w:rPr>
                <w:sz w:val="18"/>
              </w:rPr>
              <w:t>112,6</w:t>
            </w:r>
          </w:p>
        </w:tc>
      </w:tr>
      <w:tr w:rsidR="007030E7" w14:paraId="44DBBAEC" w14:textId="77777777">
        <w:trPr>
          <w:cantSplit/>
          <w:trHeight w:val="560"/>
        </w:trPr>
        <w:tc>
          <w:tcPr>
            <w:tcW w:w="700" w:type="dxa"/>
            <w:tcMar>
              <w:top w:w="0" w:type="dxa"/>
              <w:bottom w:w="0" w:type="dxa"/>
            </w:tcMar>
            <w:vAlign w:val="center"/>
          </w:tcPr>
          <w:p w14:paraId="71E389F6" w14:textId="77777777" w:rsidR="007030E7" w:rsidRDefault="00296248">
            <w:pPr>
              <w:keepNext/>
              <w:keepLines/>
              <w:spacing w:after="0" w:line="240" w:lineRule="auto"/>
            </w:pPr>
            <w:r>
              <w:rPr>
                <w:sz w:val="18"/>
              </w:rPr>
              <w:t>3</w:t>
            </w:r>
          </w:p>
        </w:tc>
        <w:tc>
          <w:tcPr>
            <w:tcW w:w="3180" w:type="dxa"/>
            <w:tcMar>
              <w:top w:w="0" w:type="dxa"/>
              <w:bottom w:w="0" w:type="dxa"/>
            </w:tcMar>
            <w:vAlign w:val="center"/>
          </w:tcPr>
          <w:p w14:paraId="413098D4" w14:textId="77777777" w:rsidR="007030E7" w:rsidRDefault="00296248">
            <w:pPr>
              <w:keepNext/>
              <w:keepLines/>
              <w:spacing w:after="0" w:line="240" w:lineRule="auto"/>
            </w:pPr>
            <w:r>
              <w:rPr>
                <w:sz w:val="18"/>
              </w:rPr>
              <w:t>RASHODI POSLOVANJA (šifre 31+32+34+35+36+37+38)</w:t>
            </w:r>
          </w:p>
        </w:tc>
        <w:tc>
          <w:tcPr>
            <w:tcW w:w="700" w:type="dxa"/>
            <w:tcMar>
              <w:top w:w="0" w:type="dxa"/>
              <w:bottom w:w="0" w:type="dxa"/>
            </w:tcMar>
            <w:vAlign w:val="center"/>
          </w:tcPr>
          <w:p w14:paraId="0063DD9A" w14:textId="77777777" w:rsidR="007030E7" w:rsidRDefault="00296248">
            <w:pPr>
              <w:keepNext/>
              <w:keepLines/>
              <w:spacing w:after="0" w:line="240" w:lineRule="auto"/>
            </w:pPr>
            <w:r>
              <w:rPr>
                <w:sz w:val="18"/>
              </w:rPr>
              <w:t>3</w:t>
            </w:r>
          </w:p>
        </w:tc>
        <w:tc>
          <w:tcPr>
            <w:tcW w:w="1860" w:type="dxa"/>
            <w:tcMar>
              <w:top w:w="0" w:type="dxa"/>
              <w:bottom w:w="0" w:type="dxa"/>
            </w:tcMar>
            <w:vAlign w:val="center"/>
          </w:tcPr>
          <w:p w14:paraId="12391598" w14:textId="77777777" w:rsidR="007030E7" w:rsidRDefault="00296248">
            <w:pPr>
              <w:keepNext/>
              <w:keepLines/>
              <w:spacing w:after="0" w:line="240" w:lineRule="auto"/>
              <w:jc w:val="right"/>
            </w:pPr>
            <w:r>
              <w:rPr>
                <w:sz w:val="18"/>
              </w:rPr>
              <w:t>4.489.175,99</w:t>
            </w:r>
          </w:p>
        </w:tc>
        <w:tc>
          <w:tcPr>
            <w:tcW w:w="1860" w:type="dxa"/>
            <w:tcMar>
              <w:top w:w="0" w:type="dxa"/>
              <w:bottom w:w="0" w:type="dxa"/>
            </w:tcMar>
            <w:vAlign w:val="center"/>
          </w:tcPr>
          <w:p w14:paraId="32FE27FC" w14:textId="77777777" w:rsidR="007030E7" w:rsidRDefault="00296248">
            <w:pPr>
              <w:keepNext/>
              <w:keepLines/>
              <w:spacing w:after="0" w:line="240" w:lineRule="auto"/>
              <w:jc w:val="right"/>
            </w:pPr>
            <w:r>
              <w:rPr>
                <w:sz w:val="18"/>
              </w:rPr>
              <w:t>5.475.251,11</w:t>
            </w:r>
          </w:p>
        </w:tc>
        <w:tc>
          <w:tcPr>
            <w:tcW w:w="700" w:type="dxa"/>
            <w:tcMar>
              <w:top w:w="0" w:type="dxa"/>
              <w:bottom w:w="0" w:type="dxa"/>
            </w:tcMar>
            <w:vAlign w:val="center"/>
          </w:tcPr>
          <w:p w14:paraId="5B50C67E" w14:textId="77777777" w:rsidR="007030E7" w:rsidRDefault="00296248">
            <w:pPr>
              <w:keepNext/>
              <w:keepLines/>
              <w:spacing w:after="0" w:line="240" w:lineRule="auto"/>
              <w:jc w:val="right"/>
            </w:pPr>
            <w:r>
              <w:rPr>
                <w:sz w:val="18"/>
              </w:rPr>
              <w:t>122,0</w:t>
            </w:r>
          </w:p>
        </w:tc>
      </w:tr>
      <w:tr w:rsidR="007030E7" w14:paraId="5481472C" w14:textId="77777777">
        <w:trPr>
          <w:cantSplit/>
          <w:trHeight w:val="560"/>
        </w:trPr>
        <w:tc>
          <w:tcPr>
            <w:tcW w:w="700" w:type="dxa"/>
            <w:tcMar>
              <w:top w:w="0" w:type="dxa"/>
              <w:bottom w:w="0" w:type="dxa"/>
            </w:tcMar>
            <w:vAlign w:val="center"/>
          </w:tcPr>
          <w:p w14:paraId="3C9EBFD5" w14:textId="77777777" w:rsidR="007030E7" w:rsidRDefault="007030E7">
            <w:pPr>
              <w:keepNext/>
              <w:keepLines/>
              <w:spacing w:after="0" w:line="240" w:lineRule="auto"/>
            </w:pPr>
          </w:p>
        </w:tc>
        <w:tc>
          <w:tcPr>
            <w:tcW w:w="3180" w:type="dxa"/>
            <w:tcMar>
              <w:top w:w="0" w:type="dxa"/>
              <w:bottom w:w="0" w:type="dxa"/>
            </w:tcMar>
            <w:vAlign w:val="center"/>
          </w:tcPr>
          <w:p w14:paraId="31322EE3" w14:textId="77777777" w:rsidR="007030E7" w:rsidRDefault="00296248">
            <w:pPr>
              <w:keepNext/>
              <w:keepLines/>
              <w:spacing w:after="0" w:line="240" w:lineRule="auto"/>
            </w:pPr>
            <w:r>
              <w:rPr>
                <w:b/>
                <w:sz w:val="18"/>
              </w:rPr>
              <w:t>MANJAK PRIHODA POSLOVANJA (šifre Z005-6)</w:t>
            </w:r>
          </w:p>
        </w:tc>
        <w:tc>
          <w:tcPr>
            <w:tcW w:w="700" w:type="dxa"/>
            <w:tcMar>
              <w:top w:w="0" w:type="dxa"/>
              <w:bottom w:w="0" w:type="dxa"/>
            </w:tcMar>
            <w:vAlign w:val="center"/>
          </w:tcPr>
          <w:p w14:paraId="6D3D9281" w14:textId="77777777" w:rsidR="007030E7" w:rsidRDefault="00296248">
            <w:pPr>
              <w:keepNext/>
              <w:keepLines/>
              <w:spacing w:after="0" w:line="240" w:lineRule="auto"/>
            </w:pPr>
            <w:r>
              <w:rPr>
                <w:b/>
                <w:sz w:val="18"/>
              </w:rPr>
              <w:t>Y001</w:t>
            </w:r>
          </w:p>
        </w:tc>
        <w:tc>
          <w:tcPr>
            <w:tcW w:w="1860" w:type="dxa"/>
            <w:tcMar>
              <w:top w:w="0" w:type="dxa"/>
              <w:bottom w:w="0" w:type="dxa"/>
            </w:tcMar>
            <w:vAlign w:val="center"/>
          </w:tcPr>
          <w:p w14:paraId="6E2A491C" w14:textId="77777777" w:rsidR="007030E7" w:rsidRDefault="00296248">
            <w:pPr>
              <w:keepNext/>
              <w:keepLines/>
              <w:spacing w:after="0" w:line="240" w:lineRule="auto"/>
              <w:jc w:val="right"/>
            </w:pPr>
            <w:r>
              <w:rPr>
                <w:b/>
                <w:sz w:val="18"/>
              </w:rPr>
              <w:t>74.399,72</w:t>
            </w:r>
          </w:p>
        </w:tc>
        <w:tc>
          <w:tcPr>
            <w:tcW w:w="1860" w:type="dxa"/>
            <w:tcMar>
              <w:top w:w="0" w:type="dxa"/>
              <w:bottom w:w="0" w:type="dxa"/>
            </w:tcMar>
            <w:vAlign w:val="center"/>
          </w:tcPr>
          <w:p w14:paraId="6743A6E3" w14:textId="77777777" w:rsidR="007030E7" w:rsidRDefault="00296248">
            <w:pPr>
              <w:keepNext/>
              <w:keepLines/>
              <w:spacing w:after="0" w:line="240" w:lineRule="auto"/>
              <w:jc w:val="right"/>
            </w:pPr>
            <w:r>
              <w:rPr>
                <w:b/>
                <w:sz w:val="18"/>
              </w:rPr>
              <w:t>503.354,05</w:t>
            </w:r>
          </w:p>
        </w:tc>
        <w:tc>
          <w:tcPr>
            <w:tcW w:w="700" w:type="dxa"/>
            <w:tcMar>
              <w:top w:w="0" w:type="dxa"/>
              <w:bottom w:w="0" w:type="dxa"/>
            </w:tcMar>
            <w:vAlign w:val="center"/>
          </w:tcPr>
          <w:p w14:paraId="29664C13" w14:textId="77777777" w:rsidR="007030E7" w:rsidRDefault="00296248">
            <w:pPr>
              <w:keepNext/>
              <w:keepLines/>
              <w:spacing w:after="0" w:line="240" w:lineRule="auto"/>
              <w:jc w:val="right"/>
            </w:pPr>
            <w:r>
              <w:rPr>
                <w:b/>
                <w:sz w:val="18"/>
              </w:rPr>
              <w:t>676,6</w:t>
            </w:r>
          </w:p>
        </w:tc>
      </w:tr>
      <w:tr w:rsidR="007030E7" w14:paraId="5FA90BC2" w14:textId="77777777">
        <w:trPr>
          <w:cantSplit/>
          <w:trHeight w:val="560"/>
        </w:trPr>
        <w:tc>
          <w:tcPr>
            <w:tcW w:w="700" w:type="dxa"/>
            <w:tcMar>
              <w:top w:w="0" w:type="dxa"/>
              <w:bottom w:w="0" w:type="dxa"/>
            </w:tcMar>
            <w:vAlign w:val="center"/>
          </w:tcPr>
          <w:p w14:paraId="7E944DC1" w14:textId="77777777" w:rsidR="007030E7" w:rsidRDefault="00296248">
            <w:pPr>
              <w:keepNext/>
              <w:keepLines/>
              <w:spacing w:after="0" w:line="240" w:lineRule="auto"/>
            </w:pPr>
            <w:r>
              <w:rPr>
                <w:sz w:val="18"/>
              </w:rPr>
              <w:t>7</w:t>
            </w:r>
          </w:p>
        </w:tc>
        <w:tc>
          <w:tcPr>
            <w:tcW w:w="3180" w:type="dxa"/>
            <w:tcMar>
              <w:top w:w="0" w:type="dxa"/>
              <w:bottom w:w="0" w:type="dxa"/>
            </w:tcMar>
            <w:vAlign w:val="center"/>
          </w:tcPr>
          <w:p w14:paraId="1A77DF19" w14:textId="77777777" w:rsidR="007030E7" w:rsidRDefault="00296248">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3B690D6" w14:textId="77777777" w:rsidR="007030E7" w:rsidRDefault="00296248">
            <w:pPr>
              <w:keepNext/>
              <w:keepLines/>
              <w:spacing w:after="0" w:line="240" w:lineRule="auto"/>
            </w:pPr>
            <w:r>
              <w:rPr>
                <w:sz w:val="18"/>
              </w:rPr>
              <w:t>7</w:t>
            </w:r>
          </w:p>
        </w:tc>
        <w:tc>
          <w:tcPr>
            <w:tcW w:w="1860" w:type="dxa"/>
            <w:tcMar>
              <w:top w:w="0" w:type="dxa"/>
              <w:bottom w:w="0" w:type="dxa"/>
            </w:tcMar>
            <w:vAlign w:val="center"/>
          </w:tcPr>
          <w:p w14:paraId="0DDF118D" w14:textId="77777777" w:rsidR="007030E7" w:rsidRDefault="00296248">
            <w:pPr>
              <w:keepNext/>
              <w:keepLines/>
              <w:spacing w:after="0" w:line="240" w:lineRule="auto"/>
              <w:jc w:val="right"/>
            </w:pPr>
            <w:r>
              <w:rPr>
                <w:sz w:val="18"/>
              </w:rPr>
              <w:t>0,00</w:t>
            </w:r>
          </w:p>
        </w:tc>
        <w:tc>
          <w:tcPr>
            <w:tcW w:w="1860" w:type="dxa"/>
            <w:tcMar>
              <w:top w:w="0" w:type="dxa"/>
              <w:bottom w:w="0" w:type="dxa"/>
            </w:tcMar>
            <w:vAlign w:val="center"/>
          </w:tcPr>
          <w:p w14:paraId="41B0FD5A" w14:textId="77777777" w:rsidR="007030E7" w:rsidRDefault="00296248">
            <w:pPr>
              <w:keepNext/>
              <w:keepLines/>
              <w:spacing w:after="0" w:line="240" w:lineRule="auto"/>
              <w:jc w:val="right"/>
            </w:pPr>
            <w:r>
              <w:rPr>
                <w:sz w:val="18"/>
              </w:rPr>
              <w:t>0,00</w:t>
            </w:r>
          </w:p>
        </w:tc>
        <w:tc>
          <w:tcPr>
            <w:tcW w:w="700" w:type="dxa"/>
            <w:tcMar>
              <w:top w:w="0" w:type="dxa"/>
              <w:bottom w:w="0" w:type="dxa"/>
            </w:tcMar>
            <w:vAlign w:val="center"/>
          </w:tcPr>
          <w:p w14:paraId="3DF44933" w14:textId="77777777" w:rsidR="007030E7" w:rsidRDefault="00296248">
            <w:pPr>
              <w:keepNext/>
              <w:keepLines/>
              <w:spacing w:after="0" w:line="240" w:lineRule="auto"/>
              <w:jc w:val="right"/>
            </w:pPr>
            <w:r>
              <w:rPr>
                <w:sz w:val="18"/>
              </w:rPr>
              <w:t>-</w:t>
            </w:r>
          </w:p>
        </w:tc>
      </w:tr>
      <w:tr w:rsidR="007030E7" w14:paraId="7553F4DF" w14:textId="77777777">
        <w:trPr>
          <w:cantSplit/>
          <w:trHeight w:val="560"/>
        </w:trPr>
        <w:tc>
          <w:tcPr>
            <w:tcW w:w="700" w:type="dxa"/>
            <w:tcMar>
              <w:top w:w="0" w:type="dxa"/>
              <w:bottom w:w="0" w:type="dxa"/>
            </w:tcMar>
            <w:vAlign w:val="center"/>
          </w:tcPr>
          <w:p w14:paraId="7334F055" w14:textId="77777777" w:rsidR="007030E7" w:rsidRDefault="00296248">
            <w:pPr>
              <w:keepNext/>
              <w:keepLines/>
              <w:spacing w:after="0" w:line="240" w:lineRule="auto"/>
            </w:pPr>
            <w:r>
              <w:rPr>
                <w:sz w:val="18"/>
              </w:rPr>
              <w:t>4</w:t>
            </w:r>
          </w:p>
        </w:tc>
        <w:tc>
          <w:tcPr>
            <w:tcW w:w="3180" w:type="dxa"/>
            <w:tcMar>
              <w:top w:w="0" w:type="dxa"/>
              <w:bottom w:w="0" w:type="dxa"/>
            </w:tcMar>
            <w:vAlign w:val="center"/>
          </w:tcPr>
          <w:p w14:paraId="50F4EB6F" w14:textId="77777777" w:rsidR="007030E7" w:rsidRDefault="0029624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EF8D338" w14:textId="77777777" w:rsidR="007030E7" w:rsidRDefault="00296248">
            <w:pPr>
              <w:keepNext/>
              <w:keepLines/>
              <w:spacing w:after="0" w:line="240" w:lineRule="auto"/>
            </w:pPr>
            <w:r>
              <w:rPr>
                <w:sz w:val="18"/>
              </w:rPr>
              <w:t>4</w:t>
            </w:r>
          </w:p>
        </w:tc>
        <w:tc>
          <w:tcPr>
            <w:tcW w:w="1860" w:type="dxa"/>
            <w:tcMar>
              <w:top w:w="0" w:type="dxa"/>
              <w:bottom w:w="0" w:type="dxa"/>
            </w:tcMar>
            <w:vAlign w:val="center"/>
          </w:tcPr>
          <w:p w14:paraId="0ACBF9A4" w14:textId="77777777" w:rsidR="007030E7" w:rsidRDefault="00296248">
            <w:pPr>
              <w:keepNext/>
              <w:keepLines/>
              <w:spacing w:after="0" w:line="240" w:lineRule="auto"/>
              <w:jc w:val="right"/>
            </w:pPr>
            <w:r>
              <w:rPr>
                <w:sz w:val="18"/>
              </w:rPr>
              <w:t>54.089,10</w:t>
            </w:r>
          </w:p>
        </w:tc>
        <w:tc>
          <w:tcPr>
            <w:tcW w:w="1860" w:type="dxa"/>
            <w:tcMar>
              <w:top w:w="0" w:type="dxa"/>
              <w:bottom w:w="0" w:type="dxa"/>
            </w:tcMar>
            <w:vAlign w:val="center"/>
          </w:tcPr>
          <w:p w14:paraId="4E34CA71" w14:textId="77777777" w:rsidR="007030E7" w:rsidRDefault="00296248">
            <w:pPr>
              <w:keepNext/>
              <w:keepLines/>
              <w:spacing w:after="0" w:line="240" w:lineRule="auto"/>
              <w:jc w:val="right"/>
            </w:pPr>
            <w:r>
              <w:rPr>
                <w:sz w:val="18"/>
              </w:rPr>
              <w:t>41.754,46</w:t>
            </w:r>
          </w:p>
        </w:tc>
        <w:tc>
          <w:tcPr>
            <w:tcW w:w="700" w:type="dxa"/>
            <w:tcMar>
              <w:top w:w="0" w:type="dxa"/>
              <w:bottom w:w="0" w:type="dxa"/>
            </w:tcMar>
            <w:vAlign w:val="center"/>
          </w:tcPr>
          <w:p w14:paraId="5A471DED" w14:textId="77777777" w:rsidR="007030E7" w:rsidRDefault="00296248">
            <w:pPr>
              <w:keepNext/>
              <w:keepLines/>
              <w:spacing w:after="0" w:line="240" w:lineRule="auto"/>
              <w:jc w:val="right"/>
            </w:pPr>
            <w:r>
              <w:rPr>
                <w:sz w:val="18"/>
              </w:rPr>
              <w:t>77,2</w:t>
            </w:r>
          </w:p>
        </w:tc>
      </w:tr>
      <w:tr w:rsidR="007030E7" w14:paraId="0DEACF3A" w14:textId="77777777">
        <w:trPr>
          <w:cantSplit/>
          <w:trHeight w:val="560"/>
        </w:trPr>
        <w:tc>
          <w:tcPr>
            <w:tcW w:w="700" w:type="dxa"/>
            <w:tcMar>
              <w:top w:w="0" w:type="dxa"/>
              <w:bottom w:w="0" w:type="dxa"/>
            </w:tcMar>
            <w:vAlign w:val="center"/>
          </w:tcPr>
          <w:p w14:paraId="30E5FECE" w14:textId="77777777" w:rsidR="007030E7" w:rsidRDefault="007030E7">
            <w:pPr>
              <w:keepNext/>
              <w:keepLines/>
              <w:spacing w:after="0" w:line="240" w:lineRule="auto"/>
            </w:pPr>
          </w:p>
        </w:tc>
        <w:tc>
          <w:tcPr>
            <w:tcW w:w="3180" w:type="dxa"/>
            <w:tcMar>
              <w:top w:w="0" w:type="dxa"/>
              <w:bottom w:w="0" w:type="dxa"/>
            </w:tcMar>
            <w:vAlign w:val="center"/>
          </w:tcPr>
          <w:p w14:paraId="026CFEFB" w14:textId="77777777" w:rsidR="007030E7" w:rsidRDefault="00296248">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A7E8401" w14:textId="77777777" w:rsidR="007030E7" w:rsidRDefault="00296248">
            <w:pPr>
              <w:keepNext/>
              <w:keepLines/>
              <w:spacing w:after="0" w:line="240" w:lineRule="auto"/>
            </w:pPr>
            <w:r>
              <w:rPr>
                <w:b/>
                <w:sz w:val="18"/>
              </w:rPr>
              <w:t>Y002</w:t>
            </w:r>
          </w:p>
        </w:tc>
        <w:tc>
          <w:tcPr>
            <w:tcW w:w="1860" w:type="dxa"/>
            <w:tcMar>
              <w:top w:w="0" w:type="dxa"/>
              <w:bottom w:w="0" w:type="dxa"/>
            </w:tcMar>
            <w:vAlign w:val="center"/>
          </w:tcPr>
          <w:p w14:paraId="529AE345" w14:textId="77777777" w:rsidR="007030E7" w:rsidRDefault="00296248">
            <w:pPr>
              <w:keepNext/>
              <w:keepLines/>
              <w:spacing w:after="0" w:line="240" w:lineRule="auto"/>
              <w:jc w:val="right"/>
            </w:pPr>
            <w:r>
              <w:rPr>
                <w:b/>
                <w:sz w:val="18"/>
              </w:rPr>
              <w:t>54.089,10</w:t>
            </w:r>
          </w:p>
        </w:tc>
        <w:tc>
          <w:tcPr>
            <w:tcW w:w="1860" w:type="dxa"/>
            <w:tcMar>
              <w:top w:w="0" w:type="dxa"/>
              <w:bottom w:w="0" w:type="dxa"/>
            </w:tcMar>
            <w:vAlign w:val="center"/>
          </w:tcPr>
          <w:p w14:paraId="1B0DB4CC" w14:textId="77777777" w:rsidR="007030E7" w:rsidRDefault="00296248">
            <w:pPr>
              <w:keepNext/>
              <w:keepLines/>
              <w:spacing w:after="0" w:line="240" w:lineRule="auto"/>
              <w:jc w:val="right"/>
            </w:pPr>
            <w:r>
              <w:rPr>
                <w:b/>
                <w:sz w:val="18"/>
              </w:rPr>
              <w:t>41.754,46</w:t>
            </w:r>
          </w:p>
        </w:tc>
        <w:tc>
          <w:tcPr>
            <w:tcW w:w="700" w:type="dxa"/>
            <w:tcMar>
              <w:top w:w="0" w:type="dxa"/>
              <w:bottom w:w="0" w:type="dxa"/>
            </w:tcMar>
            <w:vAlign w:val="center"/>
          </w:tcPr>
          <w:p w14:paraId="77DDAAB5" w14:textId="77777777" w:rsidR="007030E7" w:rsidRDefault="00296248">
            <w:pPr>
              <w:keepNext/>
              <w:keepLines/>
              <w:spacing w:after="0" w:line="240" w:lineRule="auto"/>
              <w:jc w:val="right"/>
            </w:pPr>
            <w:r>
              <w:rPr>
                <w:b/>
                <w:sz w:val="18"/>
              </w:rPr>
              <w:t>77,2</w:t>
            </w:r>
          </w:p>
        </w:tc>
      </w:tr>
      <w:tr w:rsidR="007030E7" w14:paraId="5F3532E1" w14:textId="77777777">
        <w:trPr>
          <w:cantSplit/>
          <w:trHeight w:val="560"/>
        </w:trPr>
        <w:tc>
          <w:tcPr>
            <w:tcW w:w="700" w:type="dxa"/>
            <w:tcMar>
              <w:top w:w="0" w:type="dxa"/>
              <w:bottom w:w="0" w:type="dxa"/>
            </w:tcMar>
            <w:vAlign w:val="center"/>
          </w:tcPr>
          <w:p w14:paraId="041CA616" w14:textId="77777777" w:rsidR="007030E7" w:rsidRDefault="00296248">
            <w:pPr>
              <w:keepNext/>
              <w:keepLines/>
              <w:spacing w:after="0" w:line="240" w:lineRule="auto"/>
            </w:pPr>
            <w:r>
              <w:rPr>
                <w:sz w:val="18"/>
              </w:rPr>
              <w:t>8</w:t>
            </w:r>
          </w:p>
        </w:tc>
        <w:tc>
          <w:tcPr>
            <w:tcW w:w="3180" w:type="dxa"/>
            <w:tcMar>
              <w:top w:w="0" w:type="dxa"/>
              <w:bottom w:w="0" w:type="dxa"/>
            </w:tcMar>
            <w:vAlign w:val="center"/>
          </w:tcPr>
          <w:p w14:paraId="5A1C4E71" w14:textId="77777777" w:rsidR="007030E7" w:rsidRDefault="0029624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AFA2497" w14:textId="77777777" w:rsidR="007030E7" w:rsidRDefault="00296248">
            <w:pPr>
              <w:keepNext/>
              <w:keepLines/>
              <w:spacing w:after="0" w:line="240" w:lineRule="auto"/>
            </w:pPr>
            <w:r>
              <w:rPr>
                <w:sz w:val="18"/>
              </w:rPr>
              <w:t>8</w:t>
            </w:r>
          </w:p>
        </w:tc>
        <w:tc>
          <w:tcPr>
            <w:tcW w:w="1860" w:type="dxa"/>
            <w:tcMar>
              <w:top w:w="0" w:type="dxa"/>
              <w:bottom w:w="0" w:type="dxa"/>
            </w:tcMar>
            <w:vAlign w:val="center"/>
          </w:tcPr>
          <w:p w14:paraId="395A58AC" w14:textId="77777777" w:rsidR="007030E7" w:rsidRDefault="00296248">
            <w:pPr>
              <w:keepNext/>
              <w:keepLines/>
              <w:spacing w:after="0" w:line="240" w:lineRule="auto"/>
              <w:jc w:val="right"/>
            </w:pPr>
            <w:r>
              <w:rPr>
                <w:sz w:val="18"/>
              </w:rPr>
              <w:t>0,00</w:t>
            </w:r>
          </w:p>
        </w:tc>
        <w:tc>
          <w:tcPr>
            <w:tcW w:w="1860" w:type="dxa"/>
            <w:tcMar>
              <w:top w:w="0" w:type="dxa"/>
              <w:bottom w:w="0" w:type="dxa"/>
            </w:tcMar>
            <w:vAlign w:val="center"/>
          </w:tcPr>
          <w:p w14:paraId="5A089194" w14:textId="77777777" w:rsidR="007030E7" w:rsidRDefault="00296248">
            <w:pPr>
              <w:keepNext/>
              <w:keepLines/>
              <w:spacing w:after="0" w:line="240" w:lineRule="auto"/>
              <w:jc w:val="right"/>
            </w:pPr>
            <w:r>
              <w:rPr>
                <w:sz w:val="18"/>
              </w:rPr>
              <w:t>0,00</w:t>
            </w:r>
          </w:p>
        </w:tc>
        <w:tc>
          <w:tcPr>
            <w:tcW w:w="700" w:type="dxa"/>
            <w:tcMar>
              <w:top w:w="0" w:type="dxa"/>
              <w:bottom w:w="0" w:type="dxa"/>
            </w:tcMar>
            <w:vAlign w:val="center"/>
          </w:tcPr>
          <w:p w14:paraId="15C5C577" w14:textId="77777777" w:rsidR="007030E7" w:rsidRDefault="00296248">
            <w:pPr>
              <w:keepNext/>
              <w:keepLines/>
              <w:spacing w:after="0" w:line="240" w:lineRule="auto"/>
              <w:jc w:val="right"/>
            </w:pPr>
            <w:r>
              <w:rPr>
                <w:sz w:val="18"/>
              </w:rPr>
              <w:t>-</w:t>
            </w:r>
          </w:p>
        </w:tc>
      </w:tr>
      <w:tr w:rsidR="007030E7" w14:paraId="6852DA3B" w14:textId="77777777">
        <w:trPr>
          <w:cantSplit/>
          <w:trHeight w:val="560"/>
        </w:trPr>
        <w:tc>
          <w:tcPr>
            <w:tcW w:w="700" w:type="dxa"/>
            <w:tcMar>
              <w:top w:w="0" w:type="dxa"/>
              <w:bottom w:w="0" w:type="dxa"/>
            </w:tcMar>
            <w:vAlign w:val="center"/>
          </w:tcPr>
          <w:p w14:paraId="16EDDAFA" w14:textId="77777777" w:rsidR="007030E7" w:rsidRDefault="00296248">
            <w:pPr>
              <w:keepNext/>
              <w:keepLines/>
              <w:spacing w:after="0" w:line="240" w:lineRule="auto"/>
            </w:pPr>
            <w:r>
              <w:rPr>
                <w:sz w:val="18"/>
              </w:rPr>
              <w:t>5</w:t>
            </w:r>
          </w:p>
        </w:tc>
        <w:tc>
          <w:tcPr>
            <w:tcW w:w="3180" w:type="dxa"/>
            <w:tcMar>
              <w:top w:w="0" w:type="dxa"/>
              <w:bottom w:w="0" w:type="dxa"/>
            </w:tcMar>
            <w:vAlign w:val="center"/>
          </w:tcPr>
          <w:p w14:paraId="3DF65840" w14:textId="77777777" w:rsidR="007030E7" w:rsidRDefault="00296248">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EA46844" w14:textId="77777777" w:rsidR="007030E7" w:rsidRDefault="00296248">
            <w:pPr>
              <w:keepNext/>
              <w:keepLines/>
              <w:spacing w:after="0" w:line="240" w:lineRule="auto"/>
            </w:pPr>
            <w:r>
              <w:rPr>
                <w:sz w:val="18"/>
              </w:rPr>
              <w:t>5</w:t>
            </w:r>
          </w:p>
        </w:tc>
        <w:tc>
          <w:tcPr>
            <w:tcW w:w="1860" w:type="dxa"/>
            <w:tcMar>
              <w:top w:w="0" w:type="dxa"/>
              <w:bottom w:w="0" w:type="dxa"/>
            </w:tcMar>
            <w:vAlign w:val="center"/>
          </w:tcPr>
          <w:p w14:paraId="7440CA72" w14:textId="77777777" w:rsidR="007030E7" w:rsidRDefault="00296248">
            <w:pPr>
              <w:keepNext/>
              <w:keepLines/>
              <w:spacing w:after="0" w:line="240" w:lineRule="auto"/>
              <w:jc w:val="right"/>
            </w:pPr>
            <w:r>
              <w:rPr>
                <w:sz w:val="18"/>
              </w:rPr>
              <w:t>0,00</w:t>
            </w:r>
          </w:p>
        </w:tc>
        <w:tc>
          <w:tcPr>
            <w:tcW w:w="1860" w:type="dxa"/>
            <w:tcMar>
              <w:top w:w="0" w:type="dxa"/>
              <w:bottom w:w="0" w:type="dxa"/>
            </w:tcMar>
            <w:vAlign w:val="center"/>
          </w:tcPr>
          <w:p w14:paraId="74A37E22" w14:textId="77777777" w:rsidR="007030E7" w:rsidRDefault="00296248">
            <w:pPr>
              <w:keepNext/>
              <w:keepLines/>
              <w:spacing w:after="0" w:line="240" w:lineRule="auto"/>
              <w:jc w:val="right"/>
            </w:pPr>
            <w:r>
              <w:rPr>
                <w:sz w:val="18"/>
              </w:rPr>
              <w:t>0,00</w:t>
            </w:r>
          </w:p>
        </w:tc>
        <w:tc>
          <w:tcPr>
            <w:tcW w:w="700" w:type="dxa"/>
            <w:tcMar>
              <w:top w:w="0" w:type="dxa"/>
              <w:bottom w:w="0" w:type="dxa"/>
            </w:tcMar>
            <w:vAlign w:val="center"/>
          </w:tcPr>
          <w:p w14:paraId="3F2ACEF8" w14:textId="77777777" w:rsidR="007030E7" w:rsidRDefault="00296248">
            <w:pPr>
              <w:keepNext/>
              <w:keepLines/>
              <w:spacing w:after="0" w:line="240" w:lineRule="auto"/>
              <w:jc w:val="right"/>
            </w:pPr>
            <w:r>
              <w:rPr>
                <w:sz w:val="18"/>
              </w:rPr>
              <w:t>-</w:t>
            </w:r>
          </w:p>
        </w:tc>
      </w:tr>
      <w:tr w:rsidR="007030E7" w14:paraId="5301EC98" w14:textId="77777777">
        <w:trPr>
          <w:cantSplit/>
          <w:trHeight w:val="560"/>
        </w:trPr>
        <w:tc>
          <w:tcPr>
            <w:tcW w:w="700" w:type="dxa"/>
            <w:tcMar>
              <w:top w:w="0" w:type="dxa"/>
              <w:bottom w:w="0" w:type="dxa"/>
            </w:tcMar>
            <w:vAlign w:val="center"/>
          </w:tcPr>
          <w:p w14:paraId="4D8AF6FA" w14:textId="77777777" w:rsidR="007030E7" w:rsidRDefault="007030E7">
            <w:pPr>
              <w:keepNext/>
              <w:keepLines/>
              <w:spacing w:after="0" w:line="240" w:lineRule="auto"/>
            </w:pPr>
          </w:p>
        </w:tc>
        <w:tc>
          <w:tcPr>
            <w:tcW w:w="3180" w:type="dxa"/>
            <w:tcMar>
              <w:top w:w="0" w:type="dxa"/>
              <w:bottom w:w="0" w:type="dxa"/>
            </w:tcMar>
            <w:vAlign w:val="center"/>
          </w:tcPr>
          <w:p w14:paraId="6731C416" w14:textId="77777777" w:rsidR="007030E7" w:rsidRDefault="00296248">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7B3C7613" w14:textId="77777777" w:rsidR="007030E7" w:rsidRDefault="00296248">
            <w:pPr>
              <w:keepNext/>
              <w:keepLines/>
              <w:spacing w:after="0" w:line="240" w:lineRule="auto"/>
            </w:pPr>
            <w:r>
              <w:rPr>
                <w:b/>
                <w:sz w:val="18"/>
              </w:rPr>
              <w:t>X003, Y003</w:t>
            </w:r>
          </w:p>
        </w:tc>
        <w:tc>
          <w:tcPr>
            <w:tcW w:w="1860" w:type="dxa"/>
            <w:tcMar>
              <w:top w:w="0" w:type="dxa"/>
              <w:bottom w:w="0" w:type="dxa"/>
            </w:tcMar>
            <w:vAlign w:val="center"/>
          </w:tcPr>
          <w:p w14:paraId="598AC14B" w14:textId="77777777" w:rsidR="007030E7" w:rsidRDefault="00296248">
            <w:pPr>
              <w:keepNext/>
              <w:keepLines/>
              <w:spacing w:after="0" w:line="240" w:lineRule="auto"/>
              <w:jc w:val="right"/>
            </w:pPr>
            <w:r>
              <w:rPr>
                <w:b/>
                <w:sz w:val="18"/>
              </w:rPr>
              <w:t>0,00</w:t>
            </w:r>
          </w:p>
        </w:tc>
        <w:tc>
          <w:tcPr>
            <w:tcW w:w="1860" w:type="dxa"/>
            <w:tcMar>
              <w:top w:w="0" w:type="dxa"/>
              <w:bottom w:w="0" w:type="dxa"/>
            </w:tcMar>
            <w:vAlign w:val="center"/>
          </w:tcPr>
          <w:p w14:paraId="3B2646F8" w14:textId="77777777" w:rsidR="007030E7" w:rsidRDefault="00296248">
            <w:pPr>
              <w:keepNext/>
              <w:keepLines/>
              <w:spacing w:after="0" w:line="240" w:lineRule="auto"/>
              <w:jc w:val="right"/>
            </w:pPr>
            <w:r>
              <w:rPr>
                <w:b/>
                <w:sz w:val="18"/>
              </w:rPr>
              <w:t>0,00</w:t>
            </w:r>
          </w:p>
        </w:tc>
        <w:tc>
          <w:tcPr>
            <w:tcW w:w="700" w:type="dxa"/>
            <w:tcMar>
              <w:top w:w="0" w:type="dxa"/>
              <w:bottom w:w="0" w:type="dxa"/>
            </w:tcMar>
            <w:vAlign w:val="center"/>
          </w:tcPr>
          <w:p w14:paraId="467D6113" w14:textId="77777777" w:rsidR="007030E7" w:rsidRDefault="00296248">
            <w:pPr>
              <w:keepNext/>
              <w:keepLines/>
              <w:spacing w:after="0" w:line="240" w:lineRule="auto"/>
              <w:jc w:val="right"/>
            </w:pPr>
            <w:r>
              <w:rPr>
                <w:b/>
                <w:sz w:val="18"/>
              </w:rPr>
              <w:t>-</w:t>
            </w:r>
          </w:p>
        </w:tc>
      </w:tr>
      <w:tr w:rsidR="007030E7" w14:paraId="336125AB" w14:textId="77777777">
        <w:trPr>
          <w:cantSplit/>
          <w:trHeight w:val="560"/>
        </w:trPr>
        <w:tc>
          <w:tcPr>
            <w:tcW w:w="700" w:type="dxa"/>
            <w:tcMar>
              <w:top w:w="0" w:type="dxa"/>
              <w:bottom w:w="0" w:type="dxa"/>
            </w:tcMar>
            <w:vAlign w:val="center"/>
          </w:tcPr>
          <w:p w14:paraId="0BDE6321" w14:textId="77777777" w:rsidR="007030E7" w:rsidRDefault="007030E7">
            <w:pPr>
              <w:keepNext/>
              <w:keepLines/>
              <w:spacing w:after="0" w:line="240" w:lineRule="auto"/>
            </w:pPr>
          </w:p>
        </w:tc>
        <w:tc>
          <w:tcPr>
            <w:tcW w:w="3180" w:type="dxa"/>
            <w:tcMar>
              <w:top w:w="0" w:type="dxa"/>
              <w:bottom w:w="0" w:type="dxa"/>
            </w:tcMar>
            <w:vAlign w:val="center"/>
          </w:tcPr>
          <w:p w14:paraId="6D8DAFA5" w14:textId="77777777" w:rsidR="007030E7" w:rsidRDefault="00296248">
            <w:pPr>
              <w:keepNext/>
              <w:keepLines/>
              <w:spacing w:after="0" w:line="240" w:lineRule="auto"/>
            </w:pPr>
            <w:r>
              <w:rPr>
                <w:b/>
                <w:sz w:val="18"/>
              </w:rPr>
              <w:t>MANJAK PRIHODA I PRIMITAKA (šifre Y345-X678)</w:t>
            </w:r>
          </w:p>
        </w:tc>
        <w:tc>
          <w:tcPr>
            <w:tcW w:w="700" w:type="dxa"/>
            <w:tcMar>
              <w:top w:w="0" w:type="dxa"/>
              <w:bottom w:w="0" w:type="dxa"/>
            </w:tcMar>
            <w:vAlign w:val="center"/>
          </w:tcPr>
          <w:p w14:paraId="6F9831CB" w14:textId="77777777" w:rsidR="007030E7" w:rsidRDefault="00296248">
            <w:pPr>
              <w:keepNext/>
              <w:keepLines/>
              <w:spacing w:after="0" w:line="240" w:lineRule="auto"/>
            </w:pPr>
            <w:r>
              <w:rPr>
                <w:b/>
                <w:sz w:val="18"/>
              </w:rPr>
              <w:t>Y005</w:t>
            </w:r>
          </w:p>
        </w:tc>
        <w:tc>
          <w:tcPr>
            <w:tcW w:w="1860" w:type="dxa"/>
            <w:tcMar>
              <w:top w:w="0" w:type="dxa"/>
              <w:bottom w:w="0" w:type="dxa"/>
            </w:tcMar>
            <w:vAlign w:val="center"/>
          </w:tcPr>
          <w:p w14:paraId="3CBB2578" w14:textId="77777777" w:rsidR="007030E7" w:rsidRDefault="00296248">
            <w:pPr>
              <w:keepNext/>
              <w:keepLines/>
              <w:spacing w:after="0" w:line="240" w:lineRule="auto"/>
              <w:jc w:val="right"/>
            </w:pPr>
            <w:r>
              <w:rPr>
                <w:b/>
                <w:sz w:val="18"/>
              </w:rPr>
              <w:t>128.488,82</w:t>
            </w:r>
          </w:p>
        </w:tc>
        <w:tc>
          <w:tcPr>
            <w:tcW w:w="1860" w:type="dxa"/>
            <w:tcMar>
              <w:top w:w="0" w:type="dxa"/>
              <w:bottom w:w="0" w:type="dxa"/>
            </w:tcMar>
            <w:vAlign w:val="center"/>
          </w:tcPr>
          <w:p w14:paraId="729935A5" w14:textId="77777777" w:rsidR="007030E7" w:rsidRDefault="00296248">
            <w:pPr>
              <w:keepNext/>
              <w:keepLines/>
              <w:spacing w:after="0" w:line="240" w:lineRule="auto"/>
              <w:jc w:val="right"/>
            </w:pPr>
            <w:r>
              <w:rPr>
                <w:b/>
                <w:sz w:val="18"/>
              </w:rPr>
              <w:t>545.108,51</w:t>
            </w:r>
          </w:p>
        </w:tc>
        <w:tc>
          <w:tcPr>
            <w:tcW w:w="700" w:type="dxa"/>
            <w:tcMar>
              <w:top w:w="0" w:type="dxa"/>
              <w:bottom w:w="0" w:type="dxa"/>
            </w:tcMar>
            <w:vAlign w:val="center"/>
          </w:tcPr>
          <w:p w14:paraId="7AABFEF6" w14:textId="77777777" w:rsidR="007030E7" w:rsidRDefault="00296248">
            <w:pPr>
              <w:keepNext/>
              <w:keepLines/>
              <w:spacing w:after="0" w:line="240" w:lineRule="auto"/>
              <w:jc w:val="right"/>
            </w:pPr>
            <w:r>
              <w:rPr>
                <w:b/>
                <w:sz w:val="18"/>
              </w:rPr>
              <w:t>424,2</w:t>
            </w:r>
          </w:p>
        </w:tc>
      </w:tr>
    </w:tbl>
    <w:p w14:paraId="30EEE62A" w14:textId="77777777" w:rsidR="007030E7" w:rsidRDefault="007030E7">
      <w:pPr>
        <w:spacing w:after="0"/>
      </w:pPr>
    </w:p>
    <w:p w14:paraId="5800B951" w14:textId="77777777" w:rsidR="007030E7" w:rsidRDefault="00296248">
      <w:r>
        <w:t xml:space="preserve">U izvještajnom razdoblju ostvaren je i rast prihoda (12,6 %) i rast rashoda (21,4 %), pri čemu je rast rashoda bio veći od rasta prihoda. Rast prihoda je u </w:t>
      </w:r>
      <w:proofErr w:type="spellStart"/>
      <w:r>
        <w:t>navećem</w:t>
      </w:r>
      <w:proofErr w:type="spellEnd"/>
      <w:r>
        <w:t xml:space="preserve"> dijelu  rezultat povećanih prihoda iz proračuna za cjelogodišnje pokrivanje povećanih plaća sukladno reformi plaća državnih službenika od travnja 2024. te dodatnog dvokratnog povećanja osnovice za obračun plaća u 2025. godini, kao i uplate namjenskih prihoda  za naknadu troškova državama članicama za poslove povezane sa sustavom žiga EU-a  (</w:t>
      </w:r>
      <w:proofErr w:type="spellStart"/>
      <w:r>
        <w:t>tzv.offsetting</w:t>
      </w:r>
      <w:proofErr w:type="spellEnd"/>
      <w:r>
        <w:t xml:space="preserve">)  od strane EUIPO-a prema rezultatima  poslovanja  (objašnjeno u bilješci uz konto 6526). Na rast rashoda najviše </w:t>
      </w:r>
      <w:r>
        <w:lastRenderedPageBreak/>
        <w:t>je utjecalo navedeno  povećanje rashoda za zaposlene (državne službenike), te prikaz troškova prema modificiranom računovodstvenom načelu nastanka događaja (prema Pravilniku o proračunskom računovodstvu i Računskom planu, u primjeni od 1.1.2025.), objašnjeno u Bilješci uz konta 31 i konta 3295. Tako ostvareni manjak prihoda i primitaka pokriva se prenesenim viškom iz prethodnih razdoblja poslovanja. </w:t>
      </w:r>
    </w:p>
    <w:p w14:paraId="2ED22D05" w14:textId="77777777" w:rsidR="007030E7" w:rsidRDefault="00296248">
      <w:r>
        <w:br/>
      </w:r>
    </w:p>
    <w:p w14:paraId="5015F56D" w14:textId="77777777" w:rsidR="007030E7" w:rsidRDefault="00296248">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54249A14" w14:textId="77777777">
        <w:trPr>
          <w:cantSplit/>
        </w:trPr>
        <w:tc>
          <w:tcPr>
            <w:tcW w:w="700" w:type="dxa"/>
            <w:shd w:val="clear" w:color="auto" w:fill="E7F0F9"/>
            <w:tcMar>
              <w:top w:w="0" w:type="dxa"/>
              <w:bottom w:w="0" w:type="dxa"/>
            </w:tcMar>
            <w:vAlign w:val="center"/>
          </w:tcPr>
          <w:p w14:paraId="757543EA"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BB68BC"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ADD088"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25E240"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6579DC"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00A0C6" w14:textId="77777777" w:rsidR="007030E7" w:rsidRDefault="00296248">
            <w:pPr>
              <w:keepNext/>
              <w:keepLines/>
              <w:spacing w:after="0" w:line="240" w:lineRule="auto"/>
              <w:jc w:val="center"/>
            </w:pPr>
            <w:r>
              <w:rPr>
                <w:b/>
                <w:sz w:val="18"/>
              </w:rPr>
              <w:t>Indeks (%)</w:t>
            </w:r>
          </w:p>
        </w:tc>
      </w:tr>
      <w:tr w:rsidR="007030E7" w14:paraId="30529B74" w14:textId="77777777">
        <w:trPr>
          <w:cantSplit/>
          <w:trHeight w:val="560"/>
        </w:trPr>
        <w:tc>
          <w:tcPr>
            <w:tcW w:w="700" w:type="dxa"/>
            <w:tcMar>
              <w:top w:w="0" w:type="dxa"/>
              <w:bottom w:w="0" w:type="dxa"/>
            </w:tcMar>
            <w:vAlign w:val="center"/>
          </w:tcPr>
          <w:p w14:paraId="1B37DC6A" w14:textId="77777777" w:rsidR="007030E7" w:rsidRDefault="00296248">
            <w:pPr>
              <w:keepNext/>
              <w:keepLines/>
              <w:spacing w:after="0" w:line="240" w:lineRule="auto"/>
            </w:pPr>
            <w:r>
              <w:rPr>
                <w:sz w:val="18"/>
              </w:rPr>
              <w:t>6</w:t>
            </w:r>
          </w:p>
        </w:tc>
        <w:tc>
          <w:tcPr>
            <w:tcW w:w="3180" w:type="dxa"/>
            <w:tcMar>
              <w:top w:w="0" w:type="dxa"/>
              <w:bottom w:w="0" w:type="dxa"/>
            </w:tcMar>
            <w:vAlign w:val="center"/>
          </w:tcPr>
          <w:p w14:paraId="490F9E9B" w14:textId="77777777" w:rsidR="007030E7" w:rsidRDefault="00296248">
            <w:pPr>
              <w:keepNext/>
              <w:keepLines/>
              <w:spacing w:after="0" w:line="240" w:lineRule="auto"/>
            </w:pPr>
            <w:r>
              <w:rPr>
                <w:sz w:val="18"/>
              </w:rPr>
              <w:t>PRIHODI POSLOVANJA (šifre 61+62+63+64+65+66+67+68)</w:t>
            </w:r>
          </w:p>
        </w:tc>
        <w:tc>
          <w:tcPr>
            <w:tcW w:w="700" w:type="dxa"/>
            <w:tcMar>
              <w:top w:w="0" w:type="dxa"/>
              <w:bottom w:w="0" w:type="dxa"/>
            </w:tcMar>
            <w:vAlign w:val="center"/>
          </w:tcPr>
          <w:p w14:paraId="774480D0" w14:textId="77777777" w:rsidR="007030E7" w:rsidRDefault="00296248">
            <w:pPr>
              <w:keepNext/>
              <w:keepLines/>
              <w:spacing w:after="0" w:line="240" w:lineRule="auto"/>
            </w:pPr>
            <w:r>
              <w:rPr>
                <w:sz w:val="18"/>
              </w:rPr>
              <w:t>6</w:t>
            </w:r>
          </w:p>
        </w:tc>
        <w:tc>
          <w:tcPr>
            <w:tcW w:w="1860" w:type="dxa"/>
            <w:tcMar>
              <w:top w:w="0" w:type="dxa"/>
              <w:bottom w:w="0" w:type="dxa"/>
            </w:tcMar>
            <w:vAlign w:val="center"/>
          </w:tcPr>
          <w:p w14:paraId="1A0EA9F8" w14:textId="77777777" w:rsidR="007030E7" w:rsidRDefault="00296248">
            <w:pPr>
              <w:keepNext/>
              <w:keepLines/>
              <w:spacing w:after="0" w:line="240" w:lineRule="auto"/>
              <w:jc w:val="right"/>
            </w:pPr>
            <w:r>
              <w:rPr>
                <w:sz w:val="18"/>
              </w:rPr>
              <w:t>4.414.776,27</w:t>
            </w:r>
          </w:p>
        </w:tc>
        <w:tc>
          <w:tcPr>
            <w:tcW w:w="1860" w:type="dxa"/>
            <w:tcMar>
              <w:top w:w="0" w:type="dxa"/>
              <w:bottom w:w="0" w:type="dxa"/>
            </w:tcMar>
            <w:vAlign w:val="center"/>
          </w:tcPr>
          <w:p w14:paraId="3F9B530E" w14:textId="77777777" w:rsidR="007030E7" w:rsidRDefault="00296248">
            <w:pPr>
              <w:keepNext/>
              <w:keepLines/>
              <w:spacing w:after="0" w:line="240" w:lineRule="auto"/>
              <w:jc w:val="right"/>
            </w:pPr>
            <w:r>
              <w:rPr>
                <w:sz w:val="18"/>
              </w:rPr>
              <w:t>4.971.897,06</w:t>
            </w:r>
          </w:p>
        </w:tc>
        <w:tc>
          <w:tcPr>
            <w:tcW w:w="700" w:type="dxa"/>
            <w:tcMar>
              <w:top w:w="0" w:type="dxa"/>
              <w:bottom w:w="0" w:type="dxa"/>
            </w:tcMar>
            <w:vAlign w:val="center"/>
          </w:tcPr>
          <w:p w14:paraId="44CE1042" w14:textId="77777777" w:rsidR="007030E7" w:rsidRDefault="00296248">
            <w:pPr>
              <w:keepNext/>
              <w:keepLines/>
              <w:spacing w:after="0" w:line="240" w:lineRule="auto"/>
              <w:jc w:val="right"/>
            </w:pPr>
            <w:r>
              <w:rPr>
                <w:sz w:val="18"/>
              </w:rPr>
              <w:t>112,6</w:t>
            </w:r>
          </w:p>
        </w:tc>
      </w:tr>
    </w:tbl>
    <w:p w14:paraId="6C22850F" w14:textId="77777777" w:rsidR="007030E7" w:rsidRDefault="007030E7">
      <w:pPr>
        <w:spacing w:after="0"/>
      </w:pPr>
    </w:p>
    <w:p w14:paraId="03577B14" w14:textId="77777777" w:rsidR="007030E7" w:rsidRDefault="00296248">
      <w:r>
        <w:t xml:space="preserve">Na povećanje prihoda izvještajnog razdoblja najviše je utjecalo povećanje Prihoda iz nadležnog proračuna za financiranje redovne djelatnosti proračunskih korisnika (konto 6711)  kao posljedica prvenstveno porasta rashoda za plaće koji čine glavninu rashoda. Do povećanja je došlo bez porasta broja zaposlenih a zbog cjelogodišnje primjene novog sustava plaća u državnoj upravi (nasuprot u 2024. godini tek od travnja) te dodatnog porasta osnovice za obračun plaće </w:t>
      </w:r>
      <w:proofErr w:type="spellStart"/>
      <w:r>
        <w:t>drž</w:t>
      </w:r>
      <w:proofErr w:type="spellEnd"/>
      <w:r>
        <w:t xml:space="preserve">. službenika dva puta u 2025. godini. Uz to, utjecalo je i povećanje Ostalih nespomenutih prihoda (konto 6526)  najviše zbog uplate posebne naknade troškova od strane EUIPO-a  koja se isplaćuje ako se ostvare nužni uvjeti pozitivnog poslovanja EUIPO-a, što je izostalo u 2024. godini, te smanjenje iskazanih prihoda na Ostale pristojbe i naknade (konto 6514) radi većeg iznosa </w:t>
      </w:r>
      <w:proofErr w:type="spellStart"/>
      <w:r>
        <w:t>preknjiženja</w:t>
      </w:r>
      <w:proofErr w:type="spellEnd"/>
      <w:r>
        <w:t xml:space="preserve"> neutrošenih prihoda u korist  općih prihoda Državnog proračuna (DP) nego u 2024. godini (</w:t>
      </w:r>
      <w:proofErr w:type="spellStart"/>
      <w:r>
        <w:t>preknjiženje</w:t>
      </w:r>
      <w:proofErr w:type="spellEnd"/>
      <w:r>
        <w:t xml:space="preserve">  nije vidljivo u ovakvom prikazu rashoda).</w:t>
      </w:r>
      <w:r>
        <w:br/>
        <w:t>Kategorije su detaljnije pojašnjene uz pojedinačnu stavku. </w:t>
      </w:r>
    </w:p>
    <w:p w14:paraId="4E194DA9" w14:textId="77777777" w:rsidR="007030E7" w:rsidRDefault="007030E7"/>
    <w:p w14:paraId="3BC52A5B" w14:textId="77777777" w:rsidR="007030E7" w:rsidRDefault="00296248">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7246FB18" w14:textId="77777777">
        <w:trPr>
          <w:cantSplit/>
        </w:trPr>
        <w:tc>
          <w:tcPr>
            <w:tcW w:w="700" w:type="dxa"/>
            <w:shd w:val="clear" w:color="auto" w:fill="E7F0F9"/>
            <w:tcMar>
              <w:top w:w="0" w:type="dxa"/>
              <w:bottom w:w="0" w:type="dxa"/>
            </w:tcMar>
            <w:vAlign w:val="center"/>
          </w:tcPr>
          <w:p w14:paraId="15F6B65C"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BE9DF8"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BF15ED"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B8EEFA"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B4CA68"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C5CC99" w14:textId="77777777" w:rsidR="007030E7" w:rsidRDefault="00296248">
            <w:pPr>
              <w:keepNext/>
              <w:keepLines/>
              <w:spacing w:after="0" w:line="240" w:lineRule="auto"/>
              <w:jc w:val="center"/>
            </w:pPr>
            <w:r>
              <w:rPr>
                <w:b/>
                <w:sz w:val="18"/>
              </w:rPr>
              <w:t>Indeks (%)</w:t>
            </w:r>
          </w:p>
        </w:tc>
      </w:tr>
      <w:tr w:rsidR="007030E7" w14:paraId="541522C7" w14:textId="77777777">
        <w:trPr>
          <w:cantSplit/>
          <w:trHeight w:val="560"/>
        </w:trPr>
        <w:tc>
          <w:tcPr>
            <w:tcW w:w="700" w:type="dxa"/>
            <w:tcMar>
              <w:top w:w="0" w:type="dxa"/>
              <w:bottom w:w="0" w:type="dxa"/>
            </w:tcMar>
            <w:vAlign w:val="center"/>
          </w:tcPr>
          <w:p w14:paraId="281BCF0B" w14:textId="77777777" w:rsidR="007030E7" w:rsidRDefault="00296248">
            <w:pPr>
              <w:keepNext/>
              <w:keepLines/>
              <w:spacing w:after="0" w:line="240" w:lineRule="auto"/>
            </w:pPr>
            <w:r>
              <w:rPr>
                <w:sz w:val="18"/>
              </w:rPr>
              <w:t>632</w:t>
            </w:r>
          </w:p>
        </w:tc>
        <w:tc>
          <w:tcPr>
            <w:tcW w:w="3180" w:type="dxa"/>
            <w:tcMar>
              <w:top w:w="0" w:type="dxa"/>
              <w:bottom w:w="0" w:type="dxa"/>
            </w:tcMar>
            <w:vAlign w:val="center"/>
          </w:tcPr>
          <w:p w14:paraId="4DE28E45" w14:textId="77777777" w:rsidR="007030E7" w:rsidRDefault="00296248">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14:paraId="0778CC87" w14:textId="77777777" w:rsidR="007030E7" w:rsidRDefault="00296248">
            <w:pPr>
              <w:keepNext/>
              <w:keepLines/>
              <w:spacing w:after="0" w:line="240" w:lineRule="auto"/>
            </w:pPr>
            <w:r>
              <w:rPr>
                <w:sz w:val="18"/>
              </w:rPr>
              <w:t>632</w:t>
            </w:r>
          </w:p>
        </w:tc>
        <w:tc>
          <w:tcPr>
            <w:tcW w:w="1860" w:type="dxa"/>
            <w:tcMar>
              <w:top w:w="0" w:type="dxa"/>
              <w:bottom w:w="0" w:type="dxa"/>
            </w:tcMar>
            <w:vAlign w:val="center"/>
          </w:tcPr>
          <w:p w14:paraId="404B1A41" w14:textId="77777777" w:rsidR="007030E7" w:rsidRDefault="00296248">
            <w:pPr>
              <w:keepNext/>
              <w:keepLines/>
              <w:spacing w:after="0" w:line="240" w:lineRule="auto"/>
              <w:jc w:val="right"/>
            </w:pPr>
            <w:r>
              <w:rPr>
                <w:sz w:val="18"/>
              </w:rPr>
              <w:t>35.106,26</w:t>
            </w:r>
          </w:p>
        </w:tc>
        <w:tc>
          <w:tcPr>
            <w:tcW w:w="1860" w:type="dxa"/>
            <w:tcMar>
              <w:top w:w="0" w:type="dxa"/>
              <w:bottom w:w="0" w:type="dxa"/>
            </w:tcMar>
            <w:vAlign w:val="center"/>
          </w:tcPr>
          <w:p w14:paraId="1C3B06D5" w14:textId="77777777" w:rsidR="007030E7" w:rsidRDefault="00296248">
            <w:pPr>
              <w:keepNext/>
              <w:keepLines/>
              <w:spacing w:after="0" w:line="240" w:lineRule="auto"/>
              <w:jc w:val="right"/>
            </w:pPr>
            <w:r>
              <w:rPr>
                <w:sz w:val="18"/>
              </w:rPr>
              <w:t>37.347,85</w:t>
            </w:r>
          </w:p>
        </w:tc>
        <w:tc>
          <w:tcPr>
            <w:tcW w:w="700" w:type="dxa"/>
            <w:tcMar>
              <w:top w:w="0" w:type="dxa"/>
              <w:bottom w:w="0" w:type="dxa"/>
            </w:tcMar>
            <w:vAlign w:val="center"/>
          </w:tcPr>
          <w:p w14:paraId="1F81DD57" w14:textId="77777777" w:rsidR="007030E7" w:rsidRDefault="00296248">
            <w:pPr>
              <w:keepNext/>
              <w:keepLines/>
              <w:spacing w:after="0" w:line="240" w:lineRule="auto"/>
              <w:jc w:val="right"/>
            </w:pPr>
            <w:r>
              <w:rPr>
                <w:sz w:val="18"/>
              </w:rPr>
              <w:t>106,4</w:t>
            </w:r>
          </w:p>
        </w:tc>
      </w:tr>
    </w:tbl>
    <w:p w14:paraId="49E413C5" w14:textId="77777777" w:rsidR="007030E7" w:rsidRDefault="007030E7">
      <w:pPr>
        <w:spacing w:after="0"/>
      </w:pPr>
    </w:p>
    <w:p w14:paraId="4DD7407C" w14:textId="77777777" w:rsidR="007030E7" w:rsidRDefault="00296248">
      <w:r>
        <w:t>Određeno povećanje prihoda rezultat je povećanja stavke konta 6321 (primljene refundacije troškova za poduzeti veći broj (u odnosu na usporednu godinu) službenih putovanja zaposlenika Zavoda radi sudjelovanja u radu tijela Europskog patentnog ureda (EPO), kao i refundaciju za usavršavanje službenih jezika EPO-a zaposlenicima na poslovima povezanima s radom EPO-a; i smanjenja stavke konta 6323 koje se odnosi na manje poduzetih službenih putovanja delegata u stručna radna tijela Vijeća EU-a i Europske komisije - troškovi kojih se Zavodu refundiraju tokom godine.</w:t>
      </w:r>
    </w:p>
    <w:p w14:paraId="55D1BFAB" w14:textId="77777777" w:rsidR="007030E7" w:rsidRDefault="007030E7"/>
    <w:p w14:paraId="6AB2EF2A" w14:textId="77777777" w:rsidR="007030E7" w:rsidRDefault="00296248">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5F4015FE" w14:textId="77777777">
        <w:trPr>
          <w:cantSplit/>
        </w:trPr>
        <w:tc>
          <w:tcPr>
            <w:tcW w:w="700" w:type="dxa"/>
            <w:shd w:val="clear" w:color="auto" w:fill="E7F0F9"/>
            <w:tcMar>
              <w:top w:w="0" w:type="dxa"/>
              <w:bottom w:w="0" w:type="dxa"/>
            </w:tcMar>
            <w:vAlign w:val="center"/>
          </w:tcPr>
          <w:p w14:paraId="6D8E1B9C"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C62B73"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7DDDAD"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AE1C47"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7F8EF5"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9C2B91" w14:textId="77777777" w:rsidR="007030E7" w:rsidRDefault="00296248">
            <w:pPr>
              <w:keepNext/>
              <w:keepLines/>
              <w:spacing w:after="0" w:line="240" w:lineRule="auto"/>
              <w:jc w:val="center"/>
            </w:pPr>
            <w:r>
              <w:rPr>
                <w:b/>
                <w:sz w:val="18"/>
              </w:rPr>
              <w:t>Indeks (%)</w:t>
            </w:r>
          </w:p>
        </w:tc>
      </w:tr>
      <w:tr w:rsidR="007030E7" w14:paraId="7BA7AFDE" w14:textId="77777777">
        <w:trPr>
          <w:cantSplit/>
          <w:trHeight w:val="560"/>
        </w:trPr>
        <w:tc>
          <w:tcPr>
            <w:tcW w:w="700" w:type="dxa"/>
            <w:tcMar>
              <w:top w:w="0" w:type="dxa"/>
              <w:bottom w:w="0" w:type="dxa"/>
            </w:tcMar>
            <w:vAlign w:val="center"/>
          </w:tcPr>
          <w:p w14:paraId="38989395" w14:textId="77777777" w:rsidR="007030E7" w:rsidRDefault="00296248">
            <w:pPr>
              <w:keepNext/>
              <w:keepLines/>
              <w:spacing w:after="0" w:line="240" w:lineRule="auto"/>
            </w:pPr>
            <w:r>
              <w:rPr>
                <w:sz w:val="18"/>
              </w:rPr>
              <w:t>6514</w:t>
            </w:r>
          </w:p>
        </w:tc>
        <w:tc>
          <w:tcPr>
            <w:tcW w:w="3180" w:type="dxa"/>
            <w:tcMar>
              <w:top w:w="0" w:type="dxa"/>
              <w:bottom w:w="0" w:type="dxa"/>
            </w:tcMar>
            <w:vAlign w:val="center"/>
          </w:tcPr>
          <w:p w14:paraId="5062860E" w14:textId="77777777" w:rsidR="007030E7" w:rsidRDefault="00296248">
            <w:pPr>
              <w:keepNext/>
              <w:keepLines/>
              <w:spacing w:after="0" w:line="240" w:lineRule="auto"/>
            </w:pPr>
            <w:r>
              <w:rPr>
                <w:sz w:val="18"/>
              </w:rPr>
              <w:t>Ostale pristojbe i naknade</w:t>
            </w:r>
          </w:p>
        </w:tc>
        <w:tc>
          <w:tcPr>
            <w:tcW w:w="700" w:type="dxa"/>
            <w:tcMar>
              <w:top w:w="0" w:type="dxa"/>
              <w:bottom w:w="0" w:type="dxa"/>
            </w:tcMar>
            <w:vAlign w:val="center"/>
          </w:tcPr>
          <w:p w14:paraId="6EBDB980" w14:textId="77777777" w:rsidR="007030E7" w:rsidRDefault="00296248">
            <w:pPr>
              <w:keepNext/>
              <w:keepLines/>
              <w:spacing w:after="0" w:line="240" w:lineRule="auto"/>
            </w:pPr>
            <w:r>
              <w:rPr>
                <w:sz w:val="18"/>
              </w:rPr>
              <w:t>6514</w:t>
            </w:r>
          </w:p>
        </w:tc>
        <w:tc>
          <w:tcPr>
            <w:tcW w:w="1860" w:type="dxa"/>
            <w:tcMar>
              <w:top w:w="0" w:type="dxa"/>
              <w:bottom w:w="0" w:type="dxa"/>
            </w:tcMar>
            <w:vAlign w:val="center"/>
          </w:tcPr>
          <w:p w14:paraId="7F824B59" w14:textId="77777777" w:rsidR="007030E7" w:rsidRDefault="00296248">
            <w:pPr>
              <w:keepNext/>
              <w:keepLines/>
              <w:spacing w:after="0" w:line="240" w:lineRule="auto"/>
              <w:jc w:val="right"/>
            </w:pPr>
            <w:r>
              <w:rPr>
                <w:sz w:val="18"/>
              </w:rPr>
              <w:t>1.198.466,90</w:t>
            </w:r>
          </w:p>
        </w:tc>
        <w:tc>
          <w:tcPr>
            <w:tcW w:w="1860" w:type="dxa"/>
            <w:tcMar>
              <w:top w:w="0" w:type="dxa"/>
              <w:bottom w:w="0" w:type="dxa"/>
            </w:tcMar>
            <w:vAlign w:val="center"/>
          </w:tcPr>
          <w:p w14:paraId="44918C3E" w14:textId="77777777" w:rsidR="007030E7" w:rsidRDefault="00296248">
            <w:pPr>
              <w:keepNext/>
              <w:keepLines/>
              <w:spacing w:after="0" w:line="240" w:lineRule="auto"/>
              <w:jc w:val="right"/>
            </w:pPr>
            <w:r>
              <w:rPr>
                <w:sz w:val="18"/>
              </w:rPr>
              <w:t>1.084.929,84</w:t>
            </w:r>
          </w:p>
        </w:tc>
        <w:tc>
          <w:tcPr>
            <w:tcW w:w="700" w:type="dxa"/>
            <w:tcMar>
              <w:top w:w="0" w:type="dxa"/>
              <w:bottom w:w="0" w:type="dxa"/>
            </w:tcMar>
            <w:vAlign w:val="center"/>
          </w:tcPr>
          <w:p w14:paraId="1EBE0A8E" w14:textId="77777777" w:rsidR="007030E7" w:rsidRDefault="00296248">
            <w:pPr>
              <w:keepNext/>
              <w:keepLines/>
              <w:spacing w:after="0" w:line="240" w:lineRule="auto"/>
              <w:jc w:val="right"/>
            </w:pPr>
            <w:r>
              <w:rPr>
                <w:sz w:val="18"/>
              </w:rPr>
              <w:t>90,5</w:t>
            </w:r>
          </w:p>
        </w:tc>
      </w:tr>
    </w:tbl>
    <w:p w14:paraId="6B12C005" w14:textId="77777777" w:rsidR="007030E7" w:rsidRDefault="007030E7">
      <w:pPr>
        <w:spacing w:after="0"/>
      </w:pPr>
    </w:p>
    <w:p w14:paraId="495D8111" w14:textId="77777777" w:rsidR="007030E7" w:rsidRDefault="00296248">
      <w:r>
        <w:t xml:space="preserve">Prihodi su transferne prirode i  ostvaruju se temeljem provedbe međunarodnih ugovora o suradnji vezanih za područje patenata -  pripadajući dio pristojbi od uplata podnositelja prijava patenata, kao i nositelja priznatih i važećih patenata se prosljeđuje uredima ugovornih međunarodnih organizacija: Svjetske organizacije za intelektualno vlasništvo (WIPO) i Europske patentne organizacije (EPO), dok se preostali dio prihoda periodično </w:t>
      </w:r>
      <w:proofErr w:type="spellStart"/>
      <w:r>
        <w:t>preknjižava</w:t>
      </w:r>
      <w:proofErr w:type="spellEnd"/>
      <w:r>
        <w:t xml:space="preserve"> u korist općih prihoda Državnog proračuna (što nije vidljivo u ovakvom prikazu rashoda).   Uz približno 127.000 € više uplaćenih pristojbi u 2025. (u odnosu na 2024.), izvršeno je </w:t>
      </w:r>
      <w:proofErr w:type="spellStart"/>
      <w:r>
        <w:t>preknjiženje</w:t>
      </w:r>
      <w:proofErr w:type="spellEnd"/>
      <w:r>
        <w:t xml:space="preserve"> u korist općih prihoda Državnog proračuna u iznosu od 1.890.000 €, dok je u usporednom razdoblju </w:t>
      </w:r>
      <w:proofErr w:type="spellStart"/>
      <w:r>
        <w:t>preknjiženo</w:t>
      </w:r>
      <w:proofErr w:type="spellEnd"/>
      <w:r>
        <w:t xml:space="preserve"> 1.650.000 €.</w:t>
      </w:r>
    </w:p>
    <w:p w14:paraId="232D4FC1" w14:textId="77777777" w:rsidR="007030E7" w:rsidRDefault="007030E7"/>
    <w:p w14:paraId="1C596C24" w14:textId="77777777" w:rsidR="007030E7" w:rsidRDefault="00296248">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376E33C6" w14:textId="77777777">
        <w:trPr>
          <w:cantSplit/>
        </w:trPr>
        <w:tc>
          <w:tcPr>
            <w:tcW w:w="700" w:type="dxa"/>
            <w:shd w:val="clear" w:color="auto" w:fill="E7F0F9"/>
            <w:tcMar>
              <w:top w:w="0" w:type="dxa"/>
              <w:bottom w:w="0" w:type="dxa"/>
            </w:tcMar>
            <w:vAlign w:val="center"/>
          </w:tcPr>
          <w:p w14:paraId="2D96706E"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63ED25"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8DA5B2"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1A5DE1"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904DC4"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04278E" w14:textId="77777777" w:rsidR="007030E7" w:rsidRDefault="00296248">
            <w:pPr>
              <w:keepNext/>
              <w:keepLines/>
              <w:spacing w:after="0" w:line="240" w:lineRule="auto"/>
              <w:jc w:val="center"/>
            </w:pPr>
            <w:r>
              <w:rPr>
                <w:b/>
                <w:sz w:val="18"/>
              </w:rPr>
              <w:t>Indeks (%)</w:t>
            </w:r>
          </w:p>
        </w:tc>
      </w:tr>
      <w:tr w:rsidR="007030E7" w14:paraId="0079AD6F" w14:textId="77777777">
        <w:trPr>
          <w:cantSplit/>
          <w:trHeight w:val="560"/>
        </w:trPr>
        <w:tc>
          <w:tcPr>
            <w:tcW w:w="700" w:type="dxa"/>
            <w:tcMar>
              <w:top w:w="0" w:type="dxa"/>
              <w:bottom w:w="0" w:type="dxa"/>
            </w:tcMar>
            <w:vAlign w:val="center"/>
          </w:tcPr>
          <w:p w14:paraId="19C50DD2" w14:textId="77777777" w:rsidR="007030E7" w:rsidRDefault="00296248">
            <w:pPr>
              <w:keepNext/>
              <w:keepLines/>
              <w:spacing w:after="0" w:line="240" w:lineRule="auto"/>
            </w:pPr>
            <w:r>
              <w:rPr>
                <w:sz w:val="18"/>
              </w:rPr>
              <w:t>6526</w:t>
            </w:r>
          </w:p>
        </w:tc>
        <w:tc>
          <w:tcPr>
            <w:tcW w:w="3180" w:type="dxa"/>
            <w:tcMar>
              <w:top w:w="0" w:type="dxa"/>
              <w:bottom w:w="0" w:type="dxa"/>
            </w:tcMar>
            <w:vAlign w:val="center"/>
          </w:tcPr>
          <w:p w14:paraId="37AFF16E" w14:textId="77777777" w:rsidR="007030E7" w:rsidRDefault="00296248">
            <w:pPr>
              <w:keepNext/>
              <w:keepLines/>
              <w:spacing w:after="0" w:line="240" w:lineRule="auto"/>
            </w:pPr>
            <w:r>
              <w:rPr>
                <w:sz w:val="18"/>
              </w:rPr>
              <w:t>Ostali nespomenuti prihodi</w:t>
            </w:r>
          </w:p>
        </w:tc>
        <w:tc>
          <w:tcPr>
            <w:tcW w:w="700" w:type="dxa"/>
            <w:tcMar>
              <w:top w:w="0" w:type="dxa"/>
              <w:bottom w:w="0" w:type="dxa"/>
            </w:tcMar>
            <w:vAlign w:val="center"/>
          </w:tcPr>
          <w:p w14:paraId="73CDCF04" w14:textId="77777777" w:rsidR="007030E7" w:rsidRDefault="00296248">
            <w:pPr>
              <w:keepNext/>
              <w:keepLines/>
              <w:spacing w:after="0" w:line="240" w:lineRule="auto"/>
            </w:pPr>
            <w:r>
              <w:rPr>
                <w:sz w:val="18"/>
              </w:rPr>
              <w:t>6526</w:t>
            </w:r>
          </w:p>
        </w:tc>
        <w:tc>
          <w:tcPr>
            <w:tcW w:w="1860" w:type="dxa"/>
            <w:tcMar>
              <w:top w:w="0" w:type="dxa"/>
              <w:bottom w:w="0" w:type="dxa"/>
            </w:tcMar>
            <w:vAlign w:val="center"/>
          </w:tcPr>
          <w:p w14:paraId="398BC64A" w14:textId="77777777" w:rsidR="007030E7" w:rsidRDefault="00296248">
            <w:pPr>
              <w:keepNext/>
              <w:keepLines/>
              <w:spacing w:after="0" w:line="240" w:lineRule="auto"/>
              <w:jc w:val="right"/>
            </w:pPr>
            <w:r>
              <w:rPr>
                <w:sz w:val="18"/>
              </w:rPr>
              <w:t>282.004,84</w:t>
            </w:r>
          </w:p>
        </w:tc>
        <w:tc>
          <w:tcPr>
            <w:tcW w:w="1860" w:type="dxa"/>
            <w:tcMar>
              <w:top w:w="0" w:type="dxa"/>
              <w:bottom w:w="0" w:type="dxa"/>
            </w:tcMar>
            <w:vAlign w:val="center"/>
          </w:tcPr>
          <w:p w14:paraId="4242C5D9" w14:textId="77777777" w:rsidR="007030E7" w:rsidRDefault="00296248">
            <w:pPr>
              <w:keepNext/>
              <w:keepLines/>
              <w:spacing w:after="0" w:line="240" w:lineRule="auto"/>
              <w:jc w:val="right"/>
            </w:pPr>
            <w:r>
              <w:rPr>
                <w:sz w:val="18"/>
              </w:rPr>
              <w:t>673.318,75</w:t>
            </w:r>
          </w:p>
        </w:tc>
        <w:tc>
          <w:tcPr>
            <w:tcW w:w="700" w:type="dxa"/>
            <w:tcMar>
              <w:top w:w="0" w:type="dxa"/>
              <w:bottom w:w="0" w:type="dxa"/>
            </w:tcMar>
            <w:vAlign w:val="center"/>
          </w:tcPr>
          <w:p w14:paraId="16ACDBD1" w14:textId="77777777" w:rsidR="007030E7" w:rsidRDefault="00296248">
            <w:pPr>
              <w:keepNext/>
              <w:keepLines/>
              <w:spacing w:after="0" w:line="240" w:lineRule="auto"/>
              <w:jc w:val="right"/>
            </w:pPr>
            <w:r>
              <w:rPr>
                <w:sz w:val="18"/>
              </w:rPr>
              <w:t>238,8</w:t>
            </w:r>
          </w:p>
        </w:tc>
      </w:tr>
    </w:tbl>
    <w:p w14:paraId="56FF19E5" w14:textId="77777777" w:rsidR="007030E7" w:rsidRDefault="007030E7">
      <w:pPr>
        <w:spacing w:after="0"/>
      </w:pPr>
    </w:p>
    <w:p w14:paraId="1391443B" w14:textId="77777777" w:rsidR="007030E7" w:rsidRDefault="00296248">
      <w:r>
        <w:t>Ovi prihodi po posebnim propisima su prihodi od Ureda Europske unije za intelektualno vlasništvo (EUIPO). Prihodi od suradnje temeljem godišnjeg ugovora kojim se planira sadržaj suradnje  predstavljaju zbroj akontacijske rate ugovora za tekuće i   obračunske rate za prethodno godišnje razdoblje, a ukupni iznos ovisi o opsegu i vrsti provedenih aktivnosti suradnje. Znatno uvećanje za 2025. proizlazi iz aktivnosti  suradnje s većim financijskim učinkom te prihoda od uplate iznosa naknada troškova državama članicama za poslove povezane sa sustavom žiga EU-a  (</w:t>
      </w:r>
      <w:proofErr w:type="spellStart"/>
      <w:r>
        <w:t>tzv.offsetting</w:t>
      </w:r>
      <w:proofErr w:type="spellEnd"/>
      <w:r>
        <w:t>), koji se isplaćuje ako se ostvare nužni uvjeti pozitivnog poslovanja EUIPO-a. U 2024. takve uplate nije bilo zbog negativnog poslovanja EUIPO-a u relevantnom razdoblju, a u 2025. je po ovoj osnovi primljena uplata od 341.007,30 €.</w:t>
      </w:r>
    </w:p>
    <w:p w14:paraId="46F348CD" w14:textId="77777777" w:rsidR="007030E7" w:rsidRDefault="007030E7"/>
    <w:p w14:paraId="7E3CB13E" w14:textId="77777777" w:rsidR="007030E7" w:rsidRDefault="00296248">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3F08848D" w14:textId="77777777">
        <w:trPr>
          <w:cantSplit/>
        </w:trPr>
        <w:tc>
          <w:tcPr>
            <w:tcW w:w="700" w:type="dxa"/>
            <w:shd w:val="clear" w:color="auto" w:fill="E7F0F9"/>
            <w:tcMar>
              <w:top w:w="0" w:type="dxa"/>
              <w:bottom w:w="0" w:type="dxa"/>
            </w:tcMar>
            <w:vAlign w:val="center"/>
          </w:tcPr>
          <w:p w14:paraId="79689061"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77D8FE"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CC5692"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22181F"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044B7C"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D08EF1" w14:textId="77777777" w:rsidR="007030E7" w:rsidRDefault="00296248">
            <w:pPr>
              <w:keepNext/>
              <w:keepLines/>
              <w:spacing w:after="0" w:line="240" w:lineRule="auto"/>
              <w:jc w:val="center"/>
            </w:pPr>
            <w:r>
              <w:rPr>
                <w:b/>
                <w:sz w:val="18"/>
              </w:rPr>
              <w:t>Indeks (%)</w:t>
            </w:r>
          </w:p>
        </w:tc>
      </w:tr>
      <w:tr w:rsidR="007030E7" w14:paraId="380ACA42" w14:textId="77777777">
        <w:trPr>
          <w:cantSplit/>
          <w:trHeight w:val="560"/>
        </w:trPr>
        <w:tc>
          <w:tcPr>
            <w:tcW w:w="700" w:type="dxa"/>
            <w:tcMar>
              <w:top w:w="0" w:type="dxa"/>
              <w:bottom w:w="0" w:type="dxa"/>
            </w:tcMar>
            <w:vAlign w:val="center"/>
          </w:tcPr>
          <w:p w14:paraId="44D1E41F" w14:textId="77777777" w:rsidR="007030E7" w:rsidRDefault="00296248">
            <w:pPr>
              <w:keepNext/>
              <w:keepLines/>
              <w:spacing w:after="0" w:line="240" w:lineRule="auto"/>
            </w:pPr>
            <w:r>
              <w:rPr>
                <w:sz w:val="18"/>
              </w:rPr>
              <w:t>6711</w:t>
            </w:r>
          </w:p>
        </w:tc>
        <w:tc>
          <w:tcPr>
            <w:tcW w:w="3180" w:type="dxa"/>
            <w:tcMar>
              <w:top w:w="0" w:type="dxa"/>
              <w:bottom w:w="0" w:type="dxa"/>
            </w:tcMar>
            <w:vAlign w:val="center"/>
          </w:tcPr>
          <w:p w14:paraId="43295D5E" w14:textId="77777777" w:rsidR="007030E7" w:rsidRDefault="00296248">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24EFAC67" w14:textId="77777777" w:rsidR="007030E7" w:rsidRDefault="00296248">
            <w:pPr>
              <w:keepNext/>
              <w:keepLines/>
              <w:spacing w:after="0" w:line="240" w:lineRule="auto"/>
            </w:pPr>
            <w:r>
              <w:rPr>
                <w:sz w:val="18"/>
              </w:rPr>
              <w:t>6711</w:t>
            </w:r>
          </w:p>
        </w:tc>
        <w:tc>
          <w:tcPr>
            <w:tcW w:w="1860" w:type="dxa"/>
            <w:tcMar>
              <w:top w:w="0" w:type="dxa"/>
              <w:bottom w:w="0" w:type="dxa"/>
            </w:tcMar>
            <w:vAlign w:val="center"/>
          </w:tcPr>
          <w:p w14:paraId="19B5A950" w14:textId="77777777" w:rsidR="007030E7" w:rsidRDefault="00296248">
            <w:pPr>
              <w:keepNext/>
              <w:keepLines/>
              <w:spacing w:after="0" w:line="240" w:lineRule="auto"/>
              <w:jc w:val="right"/>
            </w:pPr>
            <w:r>
              <w:rPr>
                <w:sz w:val="18"/>
              </w:rPr>
              <w:t>2.872.825,25</w:t>
            </w:r>
          </w:p>
        </w:tc>
        <w:tc>
          <w:tcPr>
            <w:tcW w:w="1860" w:type="dxa"/>
            <w:tcMar>
              <w:top w:w="0" w:type="dxa"/>
              <w:bottom w:w="0" w:type="dxa"/>
            </w:tcMar>
            <w:vAlign w:val="center"/>
          </w:tcPr>
          <w:p w14:paraId="692D16E2" w14:textId="77777777" w:rsidR="007030E7" w:rsidRDefault="00296248">
            <w:pPr>
              <w:keepNext/>
              <w:keepLines/>
              <w:spacing w:after="0" w:line="240" w:lineRule="auto"/>
              <w:jc w:val="right"/>
            </w:pPr>
            <w:r>
              <w:rPr>
                <w:sz w:val="18"/>
              </w:rPr>
              <w:t>3.147.061,88</w:t>
            </w:r>
          </w:p>
        </w:tc>
        <w:tc>
          <w:tcPr>
            <w:tcW w:w="700" w:type="dxa"/>
            <w:tcMar>
              <w:top w:w="0" w:type="dxa"/>
              <w:bottom w:w="0" w:type="dxa"/>
            </w:tcMar>
            <w:vAlign w:val="center"/>
          </w:tcPr>
          <w:p w14:paraId="01D3DE7B" w14:textId="77777777" w:rsidR="007030E7" w:rsidRDefault="00296248">
            <w:pPr>
              <w:keepNext/>
              <w:keepLines/>
              <w:spacing w:after="0" w:line="240" w:lineRule="auto"/>
              <w:jc w:val="right"/>
            </w:pPr>
            <w:r>
              <w:rPr>
                <w:sz w:val="18"/>
              </w:rPr>
              <w:t>109,5</w:t>
            </w:r>
          </w:p>
        </w:tc>
      </w:tr>
    </w:tbl>
    <w:p w14:paraId="10FE1AF3" w14:textId="77777777" w:rsidR="007030E7" w:rsidRDefault="007030E7">
      <w:pPr>
        <w:spacing w:after="0"/>
      </w:pPr>
    </w:p>
    <w:p w14:paraId="7F5CA601" w14:textId="77777777" w:rsidR="007030E7" w:rsidRDefault="00296248">
      <w:r>
        <w:t>Ovo su prihodi iz DP-a koji pokrivaju rashode za zaposlene i druge rashode koji se financiraju s izvora 11 (Opći prihodi i primici).  U izvještajnom razdoblju su povećani prvenstveno zbog većih Rashoda za zaposlene (pojašnjeno pod šifrom 31).</w:t>
      </w:r>
    </w:p>
    <w:p w14:paraId="20596A61" w14:textId="77777777" w:rsidR="007030E7" w:rsidRDefault="007030E7"/>
    <w:p w14:paraId="2152C203" w14:textId="77777777" w:rsidR="007030E7" w:rsidRDefault="00296248">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3666DB8E" w14:textId="77777777">
        <w:trPr>
          <w:cantSplit/>
        </w:trPr>
        <w:tc>
          <w:tcPr>
            <w:tcW w:w="700" w:type="dxa"/>
            <w:shd w:val="clear" w:color="auto" w:fill="E7F0F9"/>
            <w:tcMar>
              <w:top w:w="0" w:type="dxa"/>
              <w:bottom w:w="0" w:type="dxa"/>
            </w:tcMar>
            <w:vAlign w:val="center"/>
          </w:tcPr>
          <w:p w14:paraId="7EE9BE75"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3C98BF"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BCB62B"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A58736"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40D232"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CCAF1E" w14:textId="77777777" w:rsidR="007030E7" w:rsidRDefault="00296248">
            <w:pPr>
              <w:keepNext/>
              <w:keepLines/>
              <w:spacing w:after="0" w:line="240" w:lineRule="auto"/>
              <w:jc w:val="center"/>
            </w:pPr>
            <w:r>
              <w:rPr>
                <w:b/>
                <w:sz w:val="18"/>
              </w:rPr>
              <w:t>Indeks (%)</w:t>
            </w:r>
          </w:p>
        </w:tc>
      </w:tr>
      <w:tr w:rsidR="007030E7" w14:paraId="6166EF98" w14:textId="77777777">
        <w:trPr>
          <w:cantSplit/>
          <w:trHeight w:val="560"/>
        </w:trPr>
        <w:tc>
          <w:tcPr>
            <w:tcW w:w="700" w:type="dxa"/>
            <w:tcMar>
              <w:top w:w="0" w:type="dxa"/>
              <w:bottom w:w="0" w:type="dxa"/>
            </w:tcMar>
            <w:vAlign w:val="center"/>
          </w:tcPr>
          <w:p w14:paraId="23019F45" w14:textId="77777777" w:rsidR="007030E7" w:rsidRDefault="00296248">
            <w:pPr>
              <w:keepNext/>
              <w:keepLines/>
              <w:spacing w:after="0" w:line="240" w:lineRule="auto"/>
            </w:pPr>
            <w:r>
              <w:rPr>
                <w:sz w:val="18"/>
              </w:rPr>
              <w:t>31</w:t>
            </w:r>
          </w:p>
        </w:tc>
        <w:tc>
          <w:tcPr>
            <w:tcW w:w="3180" w:type="dxa"/>
            <w:tcMar>
              <w:top w:w="0" w:type="dxa"/>
              <w:bottom w:w="0" w:type="dxa"/>
            </w:tcMar>
            <w:vAlign w:val="center"/>
          </w:tcPr>
          <w:p w14:paraId="1047D4E3" w14:textId="77777777" w:rsidR="007030E7" w:rsidRDefault="00296248">
            <w:pPr>
              <w:keepNext/>
              <w:keepLines/>
              <w:spacing w:after="0" w:line="240" w:lineRule="auto"/>
            </w:pPr>
            <w:r>
              <w:rPr>
                <w:sz w:val="18"/>
              </w:rPr>
              <w:t>Rashodi za zaposlene (šifre 311+312+313)</w:t>
            </w:r>
          </w:p>
        </w:tc>
        <w:tc>
          <w:tcPr>
            <w:tcW w:w="700" w:type="dxa"/>
            <w:tcMar>
              <w:top w:w="0" w:type="dxa"/>
              <w:bottom w:w="0" w:type="dxa"/>
            </w:tcMar>
            <w:vAlign w:val="center"/>
          </w:tcPr>
          <w:p w14:paraId="2EBED27F" w14:textId="77777777" w:rsidR="007030E7" w:rsidRDefault="00296248">
            <w:pPr>
              <w:keepNext/>
              <w:keepLines/>
              <w:spacing w:after="0" w:line="240" w:lineRule="auto"/>
            </w:pPr>
            <w:r>
              <w:rPr>
                <w:sz w:val="18"/>
              </w:rPr>
              <w:t>31</w:t>
            </w:r>
          </w:p>
        </w:tc>
        <w:tc>
          <w:tcPr>
            <w:tcW w:w="1860" w:type="dxa"/>
            <w:tcMar>
              <w:top w:w="0" w:type="dxa"/>
              <w:bottom w:w="0" w:type="dxa"/>
            </w:tcMar>
            <w:vAlign w:val="center"/>
          </w:tcPr>
          <w:p w14:paraId="699E174B" w14:textId="77777777" w:rsidR="007030E7" w:rsidRDefault="00296248">
            <w:pPr>
              <w:keepNext/>
              <w:keepLines/>
              <w:spacing w:after="0" w:line="240" w:lineRule="auto"/>
              <w:jc w:val="right"/>
            </w:pPr>
            <w:r>
              <w:rPr>
                <w:sz w:val="18"/>
              </w:rPr>
              <w:t>2.705.202,25</w:t>
            </w:r>
          </w:p>
        </w:tc>
        <w:tc>
          <w:tcPr>
            <w:tcW w:w="1860" w:type="dxa"/>
            <w:tcMar>
              <w:top w:w="0" w:type="dxa"/>
              <w:bottom w:w="0" w:type="dxa"/>
            </w:tcMar>
            <w:vAlign w:val="center"/>
          </w:tcPr>
          <w:p w14:paraId="70F08B2F" w14:textId="77777777" w:rsidR="007030E7" w:rsidRDefault="00296248">
            <w:pPr>
              <w:keepNext/>
              <w:keepLines/>
              <w:spacing w:after="0" w:line="240" w:lineRule="auto"/>
              <w:jc w:val="right"/>
            </w:pPr>
            <w:r>
              <w:rPr>
                <w:sz w:val="18"/>
              </w:rPr>
              <w:t>3.238.813,80</w:t>
            </w:r>
          </w:p>
        </w:tc>
        <w:tc>
          <w:tcPr>
            <w:tcW w:w="700" w:type="dxa"/>
            <w:tcMar>
              <w:top w:w="0" w:type="dxa"/>
              <w:bottom w:w="0" w:type="dxa"/>
            </w:tcMar>
            <w:vAlign w:val="center"/>
          </w:tcPr>
          <w:p w14:paraId="57187C57" w14:textId="77777777" w:rsidR="007030E7" w:rsidRDefault="00296248">
            <w:pPr>
              <w:keepNext/>
              <w:keepLines/>
              <w:spacing w:after="0" w:line="240" w:lineRule="auto"/>
              <w:jc w:val="right"/>
            </w:pPr>
            <w:r>
              <w:rPr>
                <w:sz w:val="18"/>
              </w:rPr>
              <w:t>119,7</w:t>
            </w:r>
          </w:p>
        </w:tc>
      </w:tr>
    </w:tbl>
    <w:p w14:paraId="450279D4" w14:textId="77777777" w:rsidR="007030E7" w:rsidRDefault="007030E7">
      <w:pPr>
        <w:spacing w:after="0"/>
      </w:pPr>
    </w:p>
    <w:p w14:paraId="0B088B2B" w14:textId="77777777" w:rsidR="007030E7" w:rsidRDefault="00296248">
      <w:r>
        <w:t>Na znatno povećanje rashoda za zaposlene u odnosu na usporedno razdoblje  utjecala je promjena prikaza rashoda prema razdoblju na koje se rashod odnosi (u primjeni od 2025.), pa je stoga u iznosima rashoda za 2025. sadržano 13 mjesečnih obračuna plaće (uključujući i plaću za prosinac 2025.), nasuprot 12 mjesečnih obračuna u 2024.  Nadalje, povećanje je uzrokovano i u 2025. godini cjelogodišnjom primjenom novog sustava povećanih plaća državnih službenika (nasuprot u 2024. godini od travnja ) te dodatnim  povećanjem osnovice obračuna plaće državnih službenika u dva navrata u 2025. godini  (povećanje s 947,18 € na 975,60 € od 1.2.2025.,te  na 1.004,87 €  od 1.9.2025.).  </w:t>
      </w:r>
    </w:p>
    <w:p w14:paraId="61CF993B" w14:textId="77777777" w:rsidR="007030E7" w:rsidRDefault="007030E7"/>
    <w:p w14:paraId="74365781" w14:textId="77777777" w:rsidR="007030E7" w:rsidRDefault="00296248">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6B28E776" w14:textId="77777777">
        <w:trPr>
          <w:cantSplit/>
        </w:trPr>
        <w:tc>
          <w:tcPr>
            <w:tcW w:w="700" w:type="dxa"/>
            <w:shd w:val="clear" w:color="auto" w:fill="E7F0F9"/>
            <w:tcMar>
              <w:top w:w="0" w:type="dxa"/>
              <w:bottom w:w="0" w:type="dxa"/>
            </w:tcMar>
            <w:vAlign w:val="center"/>
          </w:tcPr>
          <w:p w14:paraId="63C7DF5B"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D08AB1"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65599B"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2B56B7"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AA884A"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3B689A" w14:textId="77777777" w:rsidR="007030E7" w:rsidRDefault="00296248">
            <w:pPr>
              <w:keepNext/>
              <w:keepLines/>
              <w:spacing w:after="0" w:line="240" w:lineRule="auto"/>
              <w:jc w:val="center"/>
            </w:pPr>
            <w:r>
              <w:rPr>
                <w:b/>
                <w:sz w:val="18"/>
              </w:rPr>
              <w:t>Indeks (%)</w:t>
            </w:r>
          </w:p>
        </w:tc>
      </w:tr>
      <w:tr w:rsidR="007030E7" w14:paraId="6E08B920" w14:textId="77777777">
        <w:trPr>
          <w:cantSplit/>
          <w:trHeight w:val="560"/>
        </w:trPr>
        <w:tc>
          <w:tcPr>
            <w:tcW w:w="700" w:type="dxa"/>
            <w:tcMar>
              <w:top w:w="0" w:type="dxa"/>
              <w:bottom w:w="0" w:type="dxa"/>
            </w:tcMar>
            <w:vAlign w:val="center"/>
          </w:tcPr>
          <w:p w14:paraId="1B447C1A" w14:textId="77777777" w:rsidR="007030E7" w:rsidRDefault="00296248">
            <w:pPr>
              <w:keepNext/>
              <w:keepLines/>
              <w:spacing w:after="0" w:line="240" w:lineRule="auto"/>
            </w:pPr>
            <w:r>
              <w:rPr>
                <w:sz w:val="18"/>
              </w:rPr>
              <w:t>3113</w:t>
            </w:r>
          </w:p>
        </w:tc>
        <w:tc>
          <w:tcPr>
            <w:tcW w:w="3180" w:type="dxa"/>
            <w:tcMar>
              <w:top w:w="0" w:type="dxa"/>
              <w:bottom w:w="0" w:type="dxa"/>
            </w:tcMar>
            <w:vAlign w:val="center"/>
          </w:tcPr>
          <w:p w14:paraId="2D59AA05" w14:textId="77777777" w:rsidR="007030E7" w:rsidRDefault="00296248">
            <w:pPr>
              <w:keepNext/>
              <w:keepLines/>
              <w:spacing w:after="0" w:line="240" w:lineRule="auto"/>
            </w:pPr>
            <w:r>
              <w:rPr>
                <w:sz w:val="18"/>
              </w:rPr>
              <w:t>Plaće za prekovremeni rad</w:t>
            </w:r>
          </w:p>
        </w:tc>
        <w:tc>
          <w:tcPr>
            <w:tcW w:w="700" w:type="dxa"/>
            <w:tcMar>
              <w:top w:w="0" w:type="dxa"/>
              <w:bottom w:w="0" w:type="dxa"/>
            </w:tcMar>
            <w:vAlign w:val="center"/>
          </w:tcPr>
          <w:p w14:paraId="63DC3A9C" w14:textId="77777777" w:rsidR="007030E7" w:rsidRDefault="00296248">
            <w:pPr>
              <w:keepNext/>
              <w:keepLines/>
              <w:spacing w:after="0" w:line="240" w:lineRule="auto"/>
            </w:pPr>
            <w:r>
              <w:rPr>
                <w:sz w:val="18"/>
              </w:rPr>
              <w:t>3113</w:t>
            </w:r>
          </w:p>
        </w:tc>
        <w:tc>
          <w:tcPr>
            <w:tcW w:w="1860" w:type="dxa"/>
            <w:tcMar>
              <w:top w:w="0" w:type="dxa"/>
              <w:bottom w:w="0" w:type="dxa"/>
            </w:tcMar>
            <w:vAlign w:val="center"/>
          </w:tcPr>
          <w:p w14:paraId="12C166BD" w14:textId="77777777" w:rsidR="007030E7" w:rsidRDefault="00296248">
            <w:pPr>
              <w:keepNext/>
              <w:keepLines/>
              <w:spacing w:after="0" w:line="240" w:lineRule="auto"/>
              <w:jc w:val="right"/>
            </w:pPr>
            <w:r>
              <w:rPr>
                <w:sz w:val="18"/>
              </w:rPr>
              <w:t>1.411,17</w:t>
            </w:r>
          </w:p>
        </w:tc>
        <w:tc>
          <w:tcPr>
            <w:tcW w:w="1860" w:type="dxa"/>
            <w:tcMar>
              <w:top w:w="0" w:type="dxa"/>
              <w:bottom w:w="0" w:type="dxa"/>
            </w:tcMar>
            <w:vAlign w:val="center"/>
          </w:tcPr>
          <w:p w14:paraId="208F2200" w14:textId="77777777" w:rsidR="007030E7" w:rsidRDefault="00296248">
            <w:pPr>
              <w:keepNext/>
              <w:keepLines/>
              <w:spacing w:after="0" w:line="240" w:lineRule="auto"/>
              <w:jc w:val="right"/>
            </w:pPr>
            <w:r>
              <w:rPr>
                <w:sz w:val="18"/>
              </w:rPr>
              <w:t>2.400,54</w:t>
            </w:r>
          </w:p>
        </w:tc>
        <w:tc>
          <w:tcPr>
            <w:tcW w:w="700" w:type="dxa"/>
            <w:tcMar>
              <w:top w:w="0" w:type="dxa"/>
              <w:bottom w:w="0" w:type="dxa"/>
            </w:tcMar>
            <w:vAlign w:val="center"/>
          </w:tcPr>
          <w:p w14:paraId="2E181C76" w14:textId="77777777" w:rsidR="007030E7" w:rsidRDefault="00296248">
            <w:pPr>
              <w:keepNext/>
              <w:keepLines/>
              <w:spacing w:after="0" w:line="240" w:lineRule="auto"/>
              <w:jc w:val="right"/>
            </w:pPr>
            <w:r>
              <w:rPr>
                <w:sz w:val="18"/>
              </w:rPr>
              <w:t>170,1</w:t>
            </w:r>
          </w:p>
        </w:tc>
      </w:tr>
    </w:tbl>
    <w:p w14:paraId="5FB2EDCB" w14:textId="77777777" w:rsidR="007030E7" w:rsidRDefault="007030E7">
      <w:pPr>
        <w:spacing w:after="0"/>
      </w:pPr>
    </w:p>
    <w:p w14:paraId="6E59779C" w14:textId="77777777" w:rsidR="007030E7" w:rsidRDefault="00296248">
      <w:r>
        <w:t>Zbog povećanog opsega aktivnosti u 2025. godini bilo je više potrebe za prekovremenim radom.</w:t>
      </w:r>
    </w:p>
    <w:p w14:paraId="794E86F7" w14:textId="77777777" w:rsidR="007030E7" w:rsidRDefault="007030E7"/>
    <w:p w14:paraId="549CB621" w14:textId="77777777" w:rsidR="007030E7" w:rsidRDefault="00296248">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3C48D4F4" w14:textId="77777777">
        <w:trPr>
          <w:cantSplit/>
        </w:trPr>
        <w:tc>
          <w:tcPr>
            <w:tcW w:w="700" w:type="dxa"/>
            <w:shd w:val="clear" w:color="auto" w:fill="E7F0F9"/>
            <w:tcMar>
              <w:top w:w="0" w:type="dxa"/>
              <w:bottom w:w="0" w:type="dxa"/>
            </w:tcMar>
            <w:vAlign w:val="center"/>
          </w:tcPr>
          <w:p w14:paraId="1B03E855"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F4BE45"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346283"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B428C2"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8C8D58"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172DE7" w14:textId="77777777" w:rsidR="007030E7" w:rsidRDefault="00296248">
            <w:pPr>
              <w:keepNext/>
              <w:keepLines/>
              <w:spacing w:after="0" w:line="240" w:lineRule="auto"/>
              <w:jc w:val="center"/>
            </w:pPr>
            <w:r>
              <w:rPr>
                <w:b/>
                <w:sz w:val="18"/>
              </w:rPr>
              <w:t>Indeks (%)</w:t>
            </w:r>
          </w:p>
        </w:tc>
      </w:tr>
      <w:tr w:rsidR="007030E7" w14:paraId="22C2FF04" w14:textId="77777777">
        <w:trPr>
          <w:cantSplit/>
          <w:trHeight w:val="560"/>
        </w:trPr>
        <w:tc>
          <w:tcPr>
            <w:tcW w:w="700" w:type="dxa"/>
            <w:tcMar>
              <w:top w:w="0" w:type="dxa"/>
              <w:bottom w:w="0" w:type="dxa"/>
            </w:tcMar>
            <w:vAlign w:val="center"/>
          </w:tcPr>
          <w:p w14:paraId="511E6CE8" w14:textId="77777777" w:rsidR="007030E7" w:rsidRDefault="00296248">
            <w:pPr>
              <w:keepNext/>
              <w:keepLines/>
              <w:spacing w:after="0" w:line="240" w:lineRule="auto"/>
            </w:pPr>
            <w:r>
              <w:rPr>
                <w:sz w:val="18"/>
              </w:rPr>
              <w:t>3211</w:t>
            </w:r>
          </w:p>
        </w:tc>
        <w:tc>
          <w:tcPr>
            <w:tcW w:w="3180" w:type="dxa"/>
            <w:tcMar>
              <w:top w:w="0" w:type="dxa"/>
              <w:bottom w:w="0" w:type="dxa"/>
            </w:tcMar>
            <w:vAlign w:val="center"/>
          </w:tcPr>
          <w:p w14:paraId="1744D913" w14:textId="77777777" w:rsidR="007030E7" w:rsidRDefault="00296248">
            <w:pPr>
              <w:keepNext/>
              <w:keepLines/>
              <w:spacing w:after="0" w:line="240" w:lineRule="auto"/>
            </w:pPr>
            <w:r>
              <w:rPr>
                <w:sz w:val="18"/>
              </w:rPr>
              <w:t>Službena putovanja</w:t>
            </w:r>
          </w:p>
        </w:tc>
        <w:tc>
          <w:tcPr>
            <w:tcW w:w="700" w:type="dxa"/>
            <w:tcMar>
              <w:top w:w="0" w:type="dxa"/>
              <w:bottom w:w="0" w:type="dxa"/>
            </w:tcMar>
            <w:vAlign w:val="center"/>
          </w:tcPr>
          <w:p w14:paraId="47486ABE" w14:textId="77777777" w:rsidR="007030E7" w:rsidRDefault="00296248">
            <w:pPr>
              <w:keepNext/>
              <w:keepLines/>
              <w:spacing w:after="0" w:line="240" w:lineRule="auto"/>
            </w:pPr>
            <w:r>
              <w:rPr>
                <w:sz w:val="18"/>
              </w:rPr>
              <w:t>3211</w:t>
            </w:r>
          </w:p>
        </w:tc>
        <w:tc>
          <w:tcPr>
            <w:tcW w:w="1860" w:type="dxa"/>
            <w:tcMar>
              <w:top w:w="0" w:type="dxa"/>
              <w:bottom w:w="0" w:type="dxa"/>
            </w:tcMar>
            <w:vAlign w:val="center"/>
          </w:tcPr>
          <w:p w14:paraId="4033E7BF" w14:textId="77777777" w:rsidR="007030E7" w:rsidRDefault="00296248">
            <w:pPr>
              <w:keepNext/>
              <w:keepLines/>
              <w:spacing w:after="0" w:line="240" w:lineRule="auto"/>
              <w:jc w:val="right"/>
            </w:pPr>
            <w:r>
              <w:rPr>
                <w:sz w:val="18"/>
              </w:rPr>
              <w:t>87.220,70</w:t>
            </w:r>
          </w:p>
        </w:tc>
        <w:tc>
          <w:tcPr>
            <w:tcW w:w="1860" w:type="dxa"/>
            <w:tcMar>
              <w:top w:w="0" w:type="dxa"/>
              <w:bottom w:w="0" w:type="dxa"/>
            </w:tcMar>
            <w:vAlign w:val="center"/>
          </w:tcPr>
          <w:p w14:paraId="224E535E" w14:textId="77777777" w:rsidR="007030E7" w:rsidRDefault="00296248">
            <w:pPr>
              <w:keepNext/>
              <w:keepLines/>
              <w:spacing w:after="0" w:line="240" w:lineRule="auto"/>
              <w:jc w:val="right"/>
            </w:pPr>
            <w:r>
              <w:rPr>
                <w:sz w:val="18"/>
              </w:rPr>
              <w:t>80.968,10</w:t>
            </w:r>
          </w:p>
        </w:tc>
        <w:tc>
          <w:tcPr>
            <w:tcW w:w="700" w:type="dxa"/>
            <w:tcMar>
              <w:top w:w="0" w:type="dxa"/>
              <w:bottom w:w="0" w:type="dxa"/>
            </w:tcMar>
            <w:vAlign w:val="center"/>
          </w:tcPr>
          <w:p w14:paraId="31E113D7" w14:textId="77777777" w:rsidR="007030E7" w:rsidRDefault="00296248">
            <w:pPr>
              <w:keepNext/>
              <w:keepLines/>
              <w:spacing w:after="0" w:line="240" w:lineRule="auto"/>
              <w:jc w:val="right"/>
            </w:pPr>
            <w:r>
              <w:rPr>
                <w:sz w:val="18"/>
              </w:rPr>
              <w:t>92,8</w:t>
            </w:r>
          </w:p>
        </w:tc>
      </w:tr>
    </w:tbl>
    <w:p w14:paraId="2DBE031D" w14:textId="77777777" w:rsidR="007030E7" w:rsidRDefault="007030E7">
      <w:pPr>
        <w:spacing w:after="0"/>
      </w:pPr>
    </w:p>
    <w:p w14:paraId="6D8A2E06" w14:textId="77777777" w:rsidR="007030E7" w:rsidRDefault="00296248">
      <w:r>
        <w:t>Smanjenje rashoda ove stavke rezultat je varijabilnih godišnjih potreba za službenim putovanjima (inozemna putovanja  na bliža odredišta i  tuzemna službena putovanja u odnosu na više inozemnih putovanja na dalja odredišta u usporednom razdoblju).</w:t>
      </w:r>
    </w:p>
    <w:p w14:paraId="691488C0" w14:textId="77777777" w:rsidR="007030E7" w:rsidRDefault="00296248">
      <w:r>
        <w:t> </w:t>
      </w:r>
    </w:p>
    <w:p w14:paraId="53CF0F3B" w14:textId="77777777" w:rsidR="007030E7" w:rsidRDefault="00296248">
      <w:r>
        <w:t> </w:t>
      </w:r>
    </w:p>
    <w:p w14:paraId="49883056" w14:textId="77777777" w:rsidR="007030E7" w:rsidRDefault="007030E7"/>
    <w:p w14:paraId="08B32E49" w14:textId="77777777" w:rsidR="007030E7" w:rsidRDefault="00296248">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740729E6" w14:textId="77777777">
        <w:trPr>
          <w:cantSplit/>
        </w:trPr>
        <w:tc>
          <w:tcPr>
            <w:tcW w:w="700" w:type="dxa"/>
            <w:shd w:val="clear" w:color="auto" w:fill="E7F0F9"/>
            <w:tcMar>
              <w:top w:w="0" w:type="dxa"/>
              <w:bottom w:w="0" w:type="dxa"/>
            </w:tcMar>
            <w:vAlign w:val="center"/>
          </w:tcPr>
          <w:p w14:paraId="5D034E3B"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DD119C"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F98841"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ED05BF"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024BF4"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2881C4" w14:textId="77777777" w:rsidR="007030E7" w:rsidRDefault="00296248">
            <w:pPr>
              <w:keepNext/>
              <w:keepLines/>
              <w:spacing w:after="0" w:line="240" w:lineRule="auto"/>
              <w:jc w:val="center"/>
            </w:pPr>
            <w:r>
              <w:rPr>
                <w:b/>
                <w:sz w:val="18"/>
              </w:rPr>
              <w:t>Indeks (%)</w:t>
            </w:r>
          </w:p>
        </w:tc>
      </w:tr>
      <w:tr w:rsidR="007030E7" w14:paraId="3F864191" w14:textId="77777777">
        <w:trPr>
          <w:cantSplit/>
          <w:trHeight w:val="560"/>
        </w:trPr>
        <w:tc>
          <w:tcPr>
            <w:tcW w:w="700" w:type="dxa"/>
            <w:tcMar>
              <w:top w:w="0" w:type="dxa"/>
              <w:bottom w:w="0" w:type="dxa"/>
            </w:tcMar>
            <w:vAlign w:val="center"/>
          </w:tcPr>
          <w:p w14:paraId="51DF4155" w14:textId="77777777" w:rsidR="007030E7" w:rsidRDefault="00296248">
            <w:pPr>
              <w:keepNext/>
              <w:keepLines/>
              <w:spacing w:after="0" w:line="240" w:lineRule="auto"/>
            </w:pPr>
            <w:r>
              <w:rPr>
                <w:sz w:val="18"/>
              </w:rPr>
              <w:t>3213</w:t>
            </w:r>
          </w:p>
        </w:tc>
        <w:tc>
          <w:tcPr>
            <w:tcW w:w="3180" w:type="dxa"/>
            <w:tcMar>
              <w:top w:w="0" w:type="dxa"/>
              <w:bottom w:w="0" w:type="dxa"/>
            </w:tcMar>
            <w:vAlign w:val="center"/>
          </w:tcPr>
          <w:p w14:paraId="7CDA3F8E" w14:textId="77777777" w:rsidR="007030E7" w:rsidRDefault="00296248">
            <w:pPr>
              <w:keepNext/>
              <w:keepLines/>
              <w:spacing w:after="0" w:line="240" w:lineRule="auto"/>
            </w:pPr>
            <w:r>
              <w:rPr>
                <w:sz w:val="18"/>
              </w:rPr>
              <w:t>Stručno usavršavanje zaposlenika</w:t>
            </w:r>
          </w:p>
        </w:tc>
        <w:tc>
          <w:tcPr>
            <w:tcW w:w="700" w:type="dxa"/>
            <w:tcMar>
              <w:top w:w="0" w:type="dxa"/>
              <w:bottom w:w="0" w:type="dxa"/>
            </w:tcMar>
            <w:vAlign w:val="center"/>
          </w:tcPr>
          <w:p w14:paraId="5BC51715" w14:textId="77777777" w:rsidR="007030E7" w:rsidRDefault="00296248">
            <w:pPr>
              <w:keepNext/>
              <w:keepLines/>
              <w:spacing w:after="0" w:line="240" w:lineRule="auto"/>
            </w:pPr>
            <w:r>
              <w:rPr>
                <w:sz w:val="18"/>
              </w:rPr>
              <w:t>3213</w:t>
            </w:r>
          </w:p>
        </w:tc>
        <w:tc>
          <w:tcPr>
            <w:tcW w:w="1860" w:type="dxa"/>
            <w:tcMar>
              <w:top w:w="0" w:type="dxa"/>
              <w:bottom w:w="0" w:type="dxa"/>
            </w:tcMar>
            <w:vAlign w:val="center"/>
          </w:tcPr>
          <w:p w14:paraId="33135B12" w14:textId="77777777" w:rsidR="007030E7" w:rsidRDefault="00296248">
            <w:pPr>
              <w:keepNext/>
              <w:keepLines/>
              <w:spacing w:after="0" w:line="240" w:lineRule="auto"/>
              <w:jc w:val="right"/>
            </w:pPr>
            <w:r>
              <w:rPr>
                <w:sz w:val="18"/>
              </w:rPr>
              <w:t>30.700,04</w:t>
            </w:r>
          </w:p>
        </w:tc>
        <w:tc>
          <w:tcPr>
            <w:tcW w:w="1860" w:type="dxa"/>
            <w:tcMar>
              <w:top w:w="0" w:type="dxa"/>
              <w:bottom w:w="0" w:type="dxa"/>
            </w:tcMar>
            <w:vAlign w:val="center"/>
          </w:tcPr>
          <w:p w14:paraId="08997E3C" w14:textId="77777777" w:rsidR="007030E7" w:rsidRDefault="00296248">
            <w:pPr>
              <w:keepNext/>
              <w:keepLines/>
              <w:spacing w:after="0" w:line="240" w:lineRule="auto"/>
              <w:jc w:val="right"/>
            </w:pPr>
            <w:r>
              <w:rPr>
                <w:sz w:val="18"/>
              </w:rPr>
              <w:t>15.371,65</w:t>
            </w:r>
          </w:p>
        </w:tc>
        <w:tc>
          <w:tcPr>
            <w:tcW w:w="700" w:type="dxa"/>
            <w:tcMar>
              <w:top w:w="0" w:type="dxa"/>
              <w:bottom w:w="0" w:type="dxa"/>
            </w:tcMar>
            <w:vAlign w:val="center"/>
          </w:tcPr>
          <w:p w14:paraId="038C7C39" w14:textId="77777777" w:rsidR="007030E7" w:rsidRDefault="00296248">
            <w:pPr>
              <w:keepNext/>
              <w:keepLines/>
              <w:spacing w:after="0" w:line="240" w:lineRule="auto"/>
              <w:jc w:val="right"/>
            </w:pPr>
            <w:r>
              <w:rPr>
                <w:sz w:val="18"/>
              </w:rPr>
              <w:t>50,1</w:t>
            </w:r>
          </w:p>
        </w:tc>
      </w:tr>
    </w:tbl>
    <w:p w14:paraId="1C8E2D9F" w14:textId="77777777" w:rsidR="007030E7" w:rsidRDefault="007030E7">
      <w:pPr>
        <w:spacing w:after="0"/>
      </w:pPr>
    </w:p>
    <w:p w14:paraId="1578ED5A" w14:textId="77777777" w:rsidR="007030E7" w:rsidRDefault="00296248">
      <w:r>
        <w:t>Razlika u odnosu na usporedno razdoblje je zbog varijabilnih godišnjih potreba i visina naknada za stručno usavršavanje.  </w:t>
      </w:r>
    </w:p>
    <w:p w14:paraId="5B365F33" w14:textId="77777777" w:rsidR="007030E7" w:rsidRDefault="007030E7"/>
    <w:p w14:paraId="4FEF08A2" w14:textId="77777777" w:rsidR="007030E7" w:rsidRDefault="00296248">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57E7D1A8" w14:textId="77777777">
        <w:trPr>
          <w:cantSplit/>
        </w:trPr>
        <w:tc>
          <w:tcPr>
            <w:tcW w:w="700" w:type="dxa"/>
            <w:shd w:val="clear" w:color="auto" w:fill="E7F0F9"/>
            <w:tcMar>
              <w:top w:w="0" w:type="dxa"/>
              <w:bottom w:w="0" w:type="dxa"/>
            </w:tcMar>
            <w:vAlign w:val="center"/>
          </w:tcPr>
          <w:p w14:paraId="202B1847"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4F2513"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4E161A"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B2D93C"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449AF5"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F95968" w14:textId="77777777" w:rsidR="007030E7" w:rsidRDefault="00296248">
            <w:pPr>
              <w:keepNext/>
              <w:keepLines/>
              <w:spacing w:after="0" w:line="240" w:lineRule="auto"/>
              <w:jc w:val="center"/>
            </w:pPr>
            <w:r>
              <w:rPr>
                <w:b/>
                <w:sz w:val="18"/>
              </w:rPr>
              <w:t>Indeks (%)</w:t>
            </w:r>
          </w:p>
        </w:tc>
      </w:tr>
      <w:tr w:rsidR="007030E7" w14:paraId="5BDF8818" w14:textId="77777777">
        <w:trPr>
          <w:cantSplit/>
          <w:trHeight w:val="560"/>
        </w:trPr>
        <w:tc>
          <w:tcPr>
            <w:tcW w:w="700" w:type="dxa"/>
            <w:tcMar>
              <w:top w:w="0" w:type="dxa"/>
              <w:bottom w:w="0" w:type="dxa"/>
            </w:tcMar>
            <w:vAlign w:val="center"/>
          </w:tcPr>
          <w:p w14:paraId="73630301" w14:textId="77777777" w:rsidR="007030E7" w:rsidRDefault="00296248">
            <w:pPr>
              <w:keepNext/>
              <w:keepLines/>
              <w:spacing w:after="0" w:line="240" w:lineRule="auto"/>
            </w:pPr>
            <w:r>
              <w:rPr>
                <w:sz w:val="18"/>
              </w:rPr>
              <w:t>3221</w:t>
            </w:r>
          </w:p>
        </w:tc>
        <w:tc>
          <w:tcPr>
            <w:tcW w:w="3180" w:type="dxa"/>
            <w:tcMar>
              <w:top w:w="0" w:type="dxa"/>
              <w:bottom w:w="0" w:type="dxa"/>
            </w:tcMar>
            <w:vAlign w:val="center"/>
          </w:tcPr>
          <w:p w14:paraId="3877298F" w14:textId="77777777" w:rsidR="007030E7" w:rsidRDefault="00296248">
            <w:pPr>
              <w:keepNext/>
              <w:keepLines/>
              <w:spacing w:after="0" w:line="240" w:lineRule="auto"/>
            </w:pPr>
            <w:r>
              <w:rPr>
                <w:sz w:val="18"/>
              </w:rPr>
              <w:t>Uredski materijal i ostali materijalni rashodi</w:t>
            </w:r>
          </w:p>
        </w:tc>
        <w:tc>
          <w:tcPr>
            <w:tcW w:w="700" w:type="dxa"/>
            <w:tcMar>
              <w:top w:w="0" w:type="dxa"/>
              <w:bottom w:w="0" w:type="dxa"/>
            </w:tcMar>
            <w:vAlign w:val="center"/>
          </w:tcPr>
          <w:p w14:paraId="4E8237E1" w14:textId="77777777" w:rsidR="007030E7" w:rsidRDefault="00296248">
            <w:pPr>
              <w:keepNext/>
              <w:keepLines/>
              <w:spacing w:after="0" w:line="240" w:lineRule="auto"/>
            </w:pPr>
            <w:r>
              <w:rPr>
                <w:sz w:val="18"/>
              </w:rPr>
              <w:t>3221</w:t>
            </w:r>
          </w:p>
        </w:tc>
        <w:tc>
          <w:tcPr>
            <w:tcW w:w="1860" w:type="dxa"/>
            <w:tcMar>
              <w:top w:w="0" w:type="dxa"/>
              <w:bottom w:w="0" w:type="dxa"/>
            </w:tcMar>
            <w:vAlign w:val="center"/>
          </w:tcPr>
          <w:p w14:paraId="74A67FE9" w14:textId="77777777" w:rsidR="007030E7" w:rsidRDefault="00296248">
            <w:pPr>
              <w:keepNext/>
              <w:keepLines/>
              <w:spacing w:after="0" w:line="240" w:lineRule="auto"/>
              <w:jc w:val="right"/>
            </w:pPr>
            <w:r>
              <w:rPr>
                <w:sz w:val="18"/>
              </w:rPr>
              <w:t>26.324,52</w:t>
            </w:r>
          </w:p>
        </w:tc>
        <w:tc>
          <w:tcPr>
            <w:tcW w:w="1860" w:type="dxa"/>
            <w:tcMar>
              <w:top w:w="0" w:type="dxa"/>
              <w:bottom w:w="0" w:type="dxa"/>
            </w:tcMar>
            <w:vAlign w:val="center"/>
          </w:tcPr>
          <w:p w14:paraId="3286114B" w14:textId="77777777" w:rsidR="007030E7" w:rsidRDefault="00296248">
            <w:pPr>
              <w:keepNext/>
              <w:keepLines/>
              <w:spacing w:after="0" w:line="240" w:lineRule="auto"/>
              <w:jc w:val="right"/>
            </w:pPr>
            <w:r>
              <w:rPr>
                <w:sz w:val="18"/>
              </w:rPr>
              <w:t>19.989,51</w:t>
            </w:r>
          </w:p>
        </w:tc>
        <w:tc>
          <w:tcPr>
            <w:tcW w:w="700" w:type="dxa"/>
            <w:tcMar>
              <w:top w:w="0" w:type="dxa"/>
              <w:bottom w:w="0" w:type="dxa"/>
            </w:tcMar>
            <w:vAlign w:val="center"/>
          </w:tcPr>
          <w:p w14:paraId="5C5249A1" w14:textId="77777777" w:rsidR="007030E7" w:rsidRDefault="00296248">
            <w:pPr>
              <w:keepNext/>
              <w:keepLines/>
              <w:spacing w:after="0" w:line="240" w:lineRule="auto"/>
              <w:jc w:val="right"/>
            </w:pPr>
            <w:r>
              <w:rPr>
                <w:sz w:val="18"/>
              </w:rPr>
              <w:t>75,9</w:t>
            </w:r>
          </w:p>
        </w:tc>
      </w:tr>
    </w:tbl>
    <w:p w14:paraId="2974DC0F" w14:textId="77777777" w:rsidR="007030E7" w:rsidRDefault="007030E7">
      <w:pPr>
        <w:spacing w:after="0"/>
      </w:pPr>
    </w:p>
    <w:p w14:paraId="032AEF0A" w14:textId="77777777" w:rsidR="007030E7" w:rsidRDefault="00296248">
      <w:r>
        <w:t>Smanjenje rashoda je zbog smanjenja potrebe za nabavom uredskog materijala (zbog digitalizacije poslovanja).    </w:t>
      </w:r>
    </w:p>
    <w:p w14:paraId="2120FFF7" w14:textId="77777777" w:rsidR="007030E7" w:rsidRDefault="007030E7"/>
    <w:p w14:paraId="0A087C74" w14:textId="77777777" w:rsidR="007030E7" w:rsidRDefault="00296248">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65583E47" w14:textId="77777777">
        <w:trPr>
          <w:cantSplit/>
        </w:trPr>
        <w:tc>
          <w:tcPr>
            <w:tcW w:w="700" w:type="dxa"/>
            <w:shd w:val="clear" w:color="auto" w:fill="E7F0F9"/>
            <w:tcMar>
              <w:top w:w="0" w:type="dxa"/>
              <w:bottom w:w="0" w:type="dxa"/>
            </w:tcMar>
            <w:vAlign w:val="center"/>
          </w:tcPr>
          <w:p w14:paraId="029B30D5"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AD01D2"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2B8FBD"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3603DA"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3E92E5"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9626B8" w14:textId="77777777" w:rsidR="007030E7" w:rsidRDefault="00296248">
            <w:pPr>
              <w:keepNext/>
              <w:keepLines/>
              <w:spacing w:after="0" w:line="240" w:lineRule="auto"/>
              <w:jc w:val="center"/>
            </w:pPr>
            <w:r>
              <w:rPr>
                <w:b/>
                <w:sz w:val="18"/>
              </w:rPr>
              <w:t>Indeks (%)</w:t>
            </w:r>
          </w:p>
        </w:tc>
      </w:tr>
      <w:tr w:rsidR="007030E7" w14:paraId="43FFD4F6" w14:textId="77777777">
        <w:trPr>
          <w:cantSplit/>
          <w:trHeight w:val="560"/>
        </w:trPr>
        <w:tc>
          <w:tcPr>
            <w:tcW w:w="700" w:type="dxa"/>
            <w:tcMar>
              <w:top w:w="0" w:type="dxa"/>
              <w:bottom w:w="0" w:type="dxa"/>
            </w:tcMar>
            <w:vAlign w:val="center"/>
          </w:tcPr>
          <w:p w14:paraId="055A170B" w14:textId="77777777" w:rsidR="007030E7" w:rsidRDefault="00296248">
            <w:pPr>
              <w:keepNext/>
              <w:keepLines/>
              <w:spacing w:after="0" w:line="240" w:lineRule="auto"/>
            </w:pPr>
            <w:r>
              <w:rPr>
                <w:sz w:val="18"/>
              </w:rPr>
              <w:t>3232</w:t>
            </w:r>
          </w:p>
        </w:tc>
        <w:tc>
          <w:tcPr>
            <w:tcW w:w="3180" w:type="dxa"/>
            <w:tcMar>
              <w:top w:w="0" w:type="dxa"/>
              <w:bottom w:w="0" w:type="dxa"/>
            </w:tcMar>
            <w:vAlign w:val="center"/>
          </w:tcPr>
          <w:p w14:paraId="6C32AE07" w14:textId="77777777" w:rsidR="007030E7" w:rsidRDefault="00296248">
            <w:pPr>
              <w:keepNext/>
              <w:keepLines/>
              <w:spacing w:after="0" w:line="240" w:lineRule="auto"/>
            </w:pPr>
            <w:r>
              <w:rPr>
                <w:sz w:val="18"/>
              </w:rPr>
              <w:t>Usluge tekućeg i investicijskog održavanja</w:t>
            </w:r>
          </w:p>
        </w:tc>
        <w:tc>
          <w:tcPr>
            <w:tcW w:w="700" w:type="dxa"/>
            <w:tcMar>
              <w:top w:w="0" w:type="dxa"/>
              <w:bottom w:w="0" w:type="dxa"/>
            </w:tcMar>
            <w:vAlign w:val="center"/>
          </w:tcPr>
          <w:p w14:paraId="6F4B22C0" w14:textId="77777777" w:rsidR="007030E7" w:rsidRDefault="00296248">
            <w:pPr>
              <w:keepNext/>
              <w:keepLines/>
              <w:spacing w:after="0" w:line="240" w:lineRule="auto"/>
            </w:pPr>
            <w:r>
              <w:rPr>
                <w:sz w:val="18"/>
              </w:rPr>
              <w:t>3232</w:t>
            </w:r>
          </w:p>
        </w:tc>
        <w:tc>
          <w:tcPr>
            <w:tcW w:w="1860" w:type="dxa"/>
            <w:tcMar>
              <w:top w:w="0" w:type="dxa"/>
              <w:bottom w:w="0" w:type="dxa"/>
            </w:tcMar>
            <w:vAlign w:val="center"/>
          </w:tcPr>
          <w:p w14:paraId="30810248" w14:textId="77777777" w:rsidR="007030E7" w:rsidRDefault="00296248">
            <w:pPr>
              <w:keepNext/>
              <w:keepLines/>
              <w:spacing w:after="0" w:line="240" w:lineRule="auto"/>
              <w:jc w:val="right"/>
            </w:pPr>
            <w:r>
              <w:rPr>
                <w:sz w:val="18"/>
              </w:rPr>
              <w:t>4.830,45</w:t>
            </w:r>
          </w:p>
        </w:tc>
        <w:tc>
          <w:tcPr>
            <w:tcW w:w="1860" w:type="dxa"/>
            <w:tcMar>
              <w:top w:w="0" w:type="dxa"/>
              <w:bottom w:w="0" w:type="dxa"/>
            </w:tcMar>
            <w:vAlign w:val="center"/>
          </w:tcPr>
          <w:p w14:paraId="60415899" w14:textId="77777777" w:rsidR="007030E7" w:rsidRDefault="00296248">
            <w:pPr>
              <w:keepNext/>
              <w:keepLines/>
              <w:spacing w:after="0" w:line="240" w:lineRule="auto"/>
              <w:jc w:val="right"/>
            </w:pPr>
            <w:r>
              <w:rPr>
                <w:sz w:val="18"/>
              </w:rPr>
              <w:t>26.426,57</w:t>
            </w:r>
          </w:p>
        </w:tc>
        <w:tc>
          <w:tcPr>
            <w:tcW w:w="700" w:type="dxa"/>
            <w:tcMar>
              <w:top w:w="0" w:type="dxa"/>
              <w:bottom w:w="0" w:type="dxa"/>
            </w:tcMar>
            <w:vAlign w:val="center"/>
          </w:tcPr>
          <w:p w14:paraId="45F0DA9F" w14:textId="77777777" w:rsidR="007030E7" w:rsidRDefault="00296248">
            <w:pPr>
              <w:keepNext/>
              <w:keepLines/>
              <w:spacing w:after="0" w:line="240" w:lineRule="auto"/>
              <w:jc w:val="right"/>
            </w:pPr>
            <w:r>
              <w:rPr>
                <w:sz w:val="18"/>
              </w:rPr>
              <w:t>547,1</w:t>
            </w:r>
          </w:p>
        </w:tc>
      </w:tr>
    </w:tbl>
    <w:p w14:paraId="4899BAFB" w14:textId="77777777" w:rsidR="007030E7" w:rsidRDefault="007030E7">
      <w:pPr>
        <w:spacing w:after="0"/>
      </w:pPr>
    </w:p>
    <w:p w14:paraId="4CA71250" w14:textId="77777777" w:rsidR="007030E7" w:rsidRDefault="00296248">
      <w:r>
        <w:t>Znatan porast rashoda nastao je zbog poduzetih nužnih radova održavanja poslovnih prostora (popravak i bojanje zidova i stropova u dijelovima poslovnog prostora, posebno čišćenje kamenih podnih obloga u hodnicima, zamjena oštećenih staklenih vrata, spajanje na vatrodojavni sustav zgrade).</w:t>
      </w:r>
    </w:p>
    <w:p w14:paraId="40766CD1" w14:textId="77777777" w:rsidR="007030E7" w:rsidRDefault="007030E7"/>
    <w:p w14:paraId="1A395B08" w14:textId="77777777" w:rsidR="007030E7" w:rsidRDefault="00296248">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2542578F" w14:textId="77777777">
        <w:trPr>
          <w:cantSplit/>
        </w:trPr>
        <w:tc>
          <w:tcPr>
            <w:tcW w:w="700" w:type="dxa"/>
            <w:shd w:val="clear" w:color="auto" w:fill="E7F0F9"/>
            <w:tcMar>
              <w:top w:w="0" w:type="dxa"/>
              <w:bottom w:w="0" w:type="dxa"/>
            </w:tcMar>
            <w:vAlign w:val="center"/>
          </w:tcPr>
          <w:p w14:paraId="2565F1DD"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FC685A"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3C1FF5"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A2DCFB"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04875E"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C9D021" w14:textId="77777777" w:rsidR="007030E7" w:rsidRDefault="00296248">
            <w:pPr>
              <w:keepNext/>
              <w:keepLines/>
              <w:spacing w:after="0" w:line="240" w:lineRule="auto"/>
              <w:jc w:val="center"/>
            </w:pPr>
            <w:r>
              <w:rPr>
                <w:b/>
                <w:sz w:val="18"/>
              </w:rPr>
              <w:t>Indeks (%)</w:t>
            </w:r>
          </w:p>
        </w:tc>
      </w:tr>
      <w:tr w:rsidR="007030E7" w14:paraId="0A3AA12F" w14:textId="77777777">
        <w:trPr>
          <w:cantSplit/>
          <w:trHeight w:val="560"/>
        </w:trPr>
        <w:tc>
          <w:tcPr>
            <w:tcW w:w="700" w:type="dxa"/>
            <w:tcMar>
              <w:top w:w="0" w:type="dxa"/>
              <w:bottom w:w="0" w:type="dxa"/>
            </w:tcMar>
            <w:vAlign w:val="center"/>
          </w:tcPr>
          <w:p w14:paraId="7D25CD0E" w14:textId="77777777" w:rsidR="007030E7" w:rsidRDefault="00296248">
            <w:pPr>
              <w:keepNext/>
              <w:keepLines/>
              <w:spacing w:after="0" w:line="240" w:lineRule="auto"/>
            </w:pPr>
            <w:r>
              <w:rPr>
                <w:sz w:val="18"/>
              </w:rPr>
              <w:t>3235</w:t>
            </w:r>
          </w:p>
        </w:tc>
        <w:tc>
          <w:tcPr>
            <w:tcW w:w="3180" w:type="dxa"/>
            <w:tcMar>
              <w:top w:w="0" w:type="dxa"/>
              <w:bottom w:w="0" w:type="dxa"/>
            </w:tcMar>
            <w:vAlign w:val="center"/>
          </w:tcPr>
          <w:p w14:paraId="2E389690" w14:textId="77777777" w:rsidR="007030E7" w:rsidRDefault="00296248">
            <w:pPr>
              <w:keepNext/>
              <w:keepLines/>
              <w:spacing w:after="0" w:line="240" w:lineRule="auto"/>
            </w:pPr>
            <w:r>
              <w:rPr>
                <w:sz w:val="18"/>
              </w:rPr>
              <w:t>Zakupnine i najamnine</w:t>
            </w:r>
          </w:p>
        </w:tc>
        <w:tc>
          <w:tcPr>
            <w:tcW w:w="700" w:type="dxa"/>
            <w:tcMar>
              <w:top w:w="0" w:type="dxa"/>
              <w:bottom w:w="0" w:type="dxa"/>
            </w:tcMar>
            <w:vAlign w:val="center"/>
          </w:tcPr>
          <w:p w14:paraId="4BF4CB2F" w14:textId="77777777" w:rsidR="007030E7" w:rsidRDefault="00296248">
            <w:pPr>
              <w:keepNext/>
              <w:keepLines/>
              <w:spacing w:after="0" w:line="240" w:lineRule="auto"/>
            </w:pPr>
            <w:r>
              <w:rPr>
                <w:sz w:val="18"/>
              </w:rPr>
              <w:t>3235</w:t>
            </w:r>
          </w:p>
        </w:tc>
        <w:tc>
          <w:tcPr>
            <w:tcW w:w="1860" w:type="dxa"/>
            <w:tcMar>
              <w:top w:w="0" w:type="dxa"/>
              <w:bottom w:w="0" w:type="dxa"/>
            </w:tcMar>
            <w:vAlign w:val="center"/>
          </w:tcPr>
          <w:p w14:paraId="09239EBF" w14:textId="77777777" w:rsidR="007030E7" w:rsidRDefault="00296248">
            <w:pPr>
              <w:keepNext/>
              <w:keepLines/>
              <w:spacing w:after="0" w:line="240" w:lineRule="auto"/>
              <w:jc w:val="right"/>
            </w:pPr>
            <w:r>
              <w:rPr>
                <w:sz w:val="18"/>
              </w:rPr>
              <w:t>80.247,75</w:t>
            </w:r>
          </w:p>
        </w:tc>
        <w:tc>
          <w:tcPr>
            <w:tcW w:w="1860" w:type="dxa"/>
            <w:tcMar>
              <w:top w:w="0" w:type="dxa"/>
              <w:bottom w:w="0" w:type="dxa"/>
            </w:tcMar>
            <w:vAlign w:val="center"/>
          </w:tcPr>
          <w:p w14:paraId="368DC29B" w14:textId="77777777" w:rsidR="007030E7" w:rsidRDefault="00296248">
            <w:pPr>
              <w:keepNext/>
              <w:keepLines/>
              <w:spacing w:after="0" w:line="240" w:lineRule="auto"/>
              <w:jc w:val="right"/>
            </w:pPr>
            <w:r>
              <w:rPr>
                <w:sz w:val="18"/>
              </w:rPr>
              <w:t>85.630,26</w:t>
            </w:r>
          </w:p>
        </w:tc>
        <w:tc>
          <w:tcPr>
            <w:tcW w:w="700" w:type="dxa"/>
            <w:tcMar>
              <w:top w:w="0" w:type="dxa"/>
              <w:bottom w:w="0" w:type="dxa"/>
            </w:tcMar>
            <w:vAlign w:val="center"/>
          </w:tcPr>
          <w:p w14:paraId="776F7724" w14:textId="77777777" w:rsidR="007030E7" w:rsidRDefault="00296248">
            <w:pPr>
              <w:keepNext/>
              <w:keepLines/>
              <w:spacing w:after="0" w:line="240" w:lineRule="auto"/>
              <w:jc w:val="right"/>
            </w:pPr>
            <w:r>
              <w:rPr>
                <w:sz w:val="18"/>
              </w:rPr>
              <w:t>106,7</w:t>
            </w:r>
          </w:p>
        </w:tc>
      </w:tr>
    </w:tbl>
    <w:p w14:paraId="06463A5B" w14:textId="77777777" w:rsidR="007030E7" w:rsidRDefault="007030E7">
      <w:pPr>
        <w:spacing w:after="0"/>
      </w:pPr>
    </w:p>
    <w:p w14:paraId="4F3963F7" w14:textId="77777777" w:rsidR="007030E7" w:rsidRDefault="00296248">
      <w:r>
        <w:t>Povećanje rashoda je zbog većih potreba  korištenja vanjskih usluga  za potrebe promidžbenih aktivnosti.</w:t>
      </w:r>
    </w:p>
    <w:p w14:paraId="67BCC954" w14:textId="77777777" w:rsidR="007030E7" w:rsidRDefault="007030E7"/>
    <w:p w14:paraId="50848A1C" w14:textId="77777777" w:rsidR="007030E7" w:rsidRDefault="00296248">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23D6B1BC" w14:textId="77777777">
        <w:trPr>
          <w:cantSplit/>
        </w:trPr>
        <w:tc>
          <w:tcPr>
            <w:tcW w:w="700" w:type="dxa"/>
            <w:shd w:val="clear" w:color="auto" w:fill="E7F0F9"/>
            <w:tcMar>
              <w:top w:w="0" w:type="dxa"/>
              <w:bottom w:w="0" w:type="dxa"/>
            </w:tcMar>
            <w:vAlign w:val="center"/>
          </w:tcPr>
          <w:p w14:paraId="07B331E9"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8E740A"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06668A"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98C434"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ABDEDF"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920500" w14:textId="77777777" w:rsidR="007030E7" w:rsidRDefault="00296248">
            <w:pPr>
              <w:keepNext/>
              <w:keepLines/>
              <w:spacing w:after="0" w:line="240" w:lineRule="auto"/>
              <w:jc w:val="center"/>
            </w:pPr>
            <w:r>
              <w:rPr>
                <w:b/>
                <w:sz w:val="18"/>
              </w:rPr>
              <w:t>Indeks (%)</w:t>
            </w:r>
          </w:p>
        </w:tc>
      </w:tr>
      <w:tr w:rsidR="007030E7" w14:paraId="64078656" w14:textId="77777777">
        <w:trPr>
          <w:cantSplit/>
          <w:trHeight w:val="560"/>
        </w:trPr>
        <w:tc>
          <w:tcPr>
            <w:tcW w:w="700" w:type="dxa"/>
            <w:tcMar>
              <w:top w:w="0" w:type="dxa"/>
              <w:bottom w:w="0" w:type="dxa"/>
            </w:tcMar>
            <w:vAlign w:val="center"/>
          </w:tcPr>
          <w:p w14:paraId="7E6D3FE0" w14:textId="77777777" w:rsidR="007030E7" w:rsidRDefault="00296248">
            <w:pPr>
              <w:keepNext/>
              <w:keepLines/>
              <w:spacing w:after="0" w:line="240" w:lineRule="auto"/>
            </w:pPr>
            <w:r>
              <w:rPr>
                <w:sz w:val="18"/>
              </w:rPr>
              <w:t>3236</w:t>
            </w:r>
          </w:p>
        </w:tc>
        <w:tc>
          <w:tcPr>
            <w:tcW w:w="3180" w:type="dxa"/>
            <w:tcMar>
              <w:top w:w="0" w:type="dxa"/>
              <w:bottom w:w="0" w:type="dxa"/>
            </w:tcMar>
            <w:vAlign w:val="center"/>
          </w:tcPr>
          <w:p w14:paraId="403878A0" w14:textId="77777777" w:rsidR="007030E7" w:rsidRDefault="00296248">
            <w:pPr>
              <w:keepNext/>
              <w:keepLines/>
              <w:spacing w:after="0" w:line="240" w:lineRule="auto"/>
            </w:pPr>
            <w:r>
              <w:rPr>
                <w:sz w:val="18"/>
              </w:rPr>
              <w:t>Zdravstvene i veterinarske usluge</w:t>
            </w:r>
          </w:p>
        </w:tc>
        <w:tc>
          <w:tcPr>
            <w:tcW w:w="700" w:type="dxa"/>
            <w:tcMar>
              <w:top w:w="0" w:type="dxa"/>
              <w:bottom w:w="0" w:type="dxa"/>
            </w:tcMar>
            <w:vAlign w:val="center"/>
          </w:tcPr>
          <w:p w14:paraId="51785C87" w14:textId="77777777" w:rsidR="007030E7" w:rsidRDefault="00296248">
            <w:pPr>
              <w:keepNext/>
              <w:keepLines/>
              <w:spacing w:after="0" w:line="240" w:lineRule="auto"/>
            </w:pPr>
            <w:r>
              <w:rPr>
                <w:sz w:val="18"/>
              </w:rPr>
              <w:t>3236</w:t>
            </w:r>
          </w:p>
        </w:tc>
        <w:tc>
          <w:tcPr>
            <w:tcW w:w="1860" w:type="dxa"/>
            <w:tcMar>
              <w:top w:w="0" w:type="dxa"/>
              <w:bottom w:w="0" w:type="dxa"/>
            </w:tcMar>
            <w:vAlign w:val="center"/>
          </w:tcPr>
          <w:p w14:paraId="11828F0C" w14:textId="77777777" w:rsidR="007030E7" w:rsidRDefault="00296248">
            <w:pPr>
              <w:keepNext/>
              <w:keepLines/>
              <w:spacing w:after="0" w:line="240" w:lineRule="auto"/>
              <w:jc w:val="right"/>
            </w:pPr>
            <w:r>
              <w:rPr>
                <w:sz w:val="18"/>
              </w:rPr>
              <w:t>1.030,01</w:t>
            </w:r>
          </w:p>
        </w:tc>
        <w:tc>
          <w:tcPr>
            <w:tcW w:w="1860" w:type="dxa"/>
            <w:tcMar>
              <w:top w:w="0" w:type="dxa"/>
              <w:bottom w:w="0" w:type="dxa"/>
            </w:tcMar>
            <w:vAlign w:val="center"/>
          </w:tcPr>
          <w:p w14:paraId="58B67754" w14:textId="77777777" w:rsidR="007030E7" w:rsidRDefault="00296248">
            <w:pPr>
              <w:keepNext/>
              <w:keepLines/>
              <w:spacing w:after="0" w:line="240" w:lineRule="auto"/>
              <w:jc w:val="right"/>
            </w:pPr>
            <w:r>
              <w:rPr>
                <w:sz w:val="18"/>
              </w:rPr>
              <w:t>6.837,00</w:t>
            </w:r>
          </w:p>
        </w:tc>
        <w:tc>
          <w:tcPr>
            <w:tcW w:w="700" w:type="dxa"/>
            <w:tcMar>
              <w:top w:w="0" w:type="dxa"/>
              <w:bottom w:w="0" w:type="dxa"/>
            </w:tcMar>
            <w:vAlign w:val="center"/>
          </w:tcPr>
          <w:p w14:paraId="6B0CC5A7" w14:textId="77777777" w:rsidR="007030E7" w:rsidRDefault="00296248">
            <w:pPr>
              <w:keepNext/>
              <w:keepLines/>
              <w:spacing w:after="0" w:line="240" w:lineRule="auto"/>
              <w:jc w:val="right"/>
            </w:pPr>
            <w:r>
              <w:rPr>
                <w:sz w:val="18"/>
              </w:rPr>
              <w:t>663,8</w:t>
            </w:r>
          </w:p>
        </w:tc>
      </w:tr>
    </w:tbl>
    <w:p w14:paraId="0FB97606" w14:textId="77777777" w:rsidR="007030E7" w:rsidRDefault="007030E7">
      <w:pPr>
        <w:spacing w:after="0"/>
      </w:pPr>
    </w:p>
    <w:p w14:paraId="58F1836B" w14:textId="77777777" w:rsidR="007030E7" w:rsidRDefault="00296248">
      <w:r>
        <w:t>Znatno povećanje rashoda je zbog obavljenih sistematskih pregleda službenika starijih od 50 godina, na što ova kategorija ima pravo svake dvije godine  (u 2024. nije bilo sistematskih pregleda ). Iznos je sukladan starijoj dobnoj strukturi službenika. </w:t>
      </w:r>
    </w:p>
    <w:p w14:paraId="444B8566" w14:textId="77777777" w:rsidR="007030E7" w:rsidRDefault="007030E7"/>
    <w:p w14:paraId="2049789E" w14:textId="77777777" w:rsidR="007030E7" w:rsidRDefault="00296248">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34A8A297" w14:textId="77777777">
        <w:trPr>
          <w:cantSplit/>
        </w:trPr>
        <w:tc>
          <w:tcPr>
            <w:tcW w:w="700" w:type="dxa"/>
            <w:shd w:val="clear" w:color="auto" w:fill="E7F0F9"/>
            <w:tcMar>
              <w:top w:w="0" w:type="dxa"/>
              <w:bottom w:w="0" w:type="dxa"/>
            </w:tcMar>
            <w:vAlign w:val="center"/>
          </w:tcPr>
          <w:p w14:paraId="3DA501B7"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3FABC8"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AE23D8"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A20FFB"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4BC30F"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86FD19" w14:textId="77777777" w:rsidR="007030E7" w:rsidRDefault="00296248">
            <w:pPr>
              <w:keepNext/>
              <w:keepLines/>
              <w:spacing w:after="0" w:line="240" w:lineRule="auto"/>
              <w:jc w:val="center"/>
            </w:pPr>
            <w:r>
              <w:rPr>
                <w:b/>
                <w:sz w:val="18"/>
              </w:rPr>
              <w:t>Indeks (%)</w:t>
            </w:r>
          </w:p>
        </w:tc>
      </w:tr>
      <w:tr w:rsidR="007030E7" w14:paraId="42EE3CAC" w14:textId="77777777">
        <w:trPr>
          <w:cantSplit/>
          <w:trHeight w:val="560"/>
        </w:trPr>
        <w:tc>
          <w:tcPr>
            <w:tcW w:w="700" w:type="dxa"/>
            <w:tcMar>
              <w:top w:w="0" w:type="dxa"/>
              <w:bottom w:w="0" w:type="dxa"/>
            </w:tcMar>
            <w:vAlign w:val="center"/>
          </w:tcPr>
          <w:p w14:paraId="44725418" w14:textId="77777777" w:rsidR="007030E7" w:rsidRDefault="00296248">
            <w:pPr>
              <w:keepNext/>
              <w:keepLines/>
              <w:spacing w:after="0" w:line="240" w:lineRule="auto"/>
            </w:pPr>
            <w:r>
              <w:rPr>
                <w:sz w:val="18"/>
              </w:rPr>
              <w:t>3237</w:t>
            </w:r>
          </w:p>
        </w:tc>
        <w:tc>
          <w:tcPr>
            <w:tcW w:w="3180" w:type="dxa"/>
            <w:tcMar>
              <w:top w:w="0" w:type="dxa"/>
              <w:bottom w:w="0" w:type="dxa"/>
            </w:tcMar>
            <w:vAlign w:val="center"/>
          </w:tcPr>
          <w:p w14:paraId="7111035E" w14:textId="77777777" w:rsidR="007030E7" w:rsidRDefault="00296248">
            <w:pPr>
              <w:keepNext/>
              <w:keepLines/>
              <w:spacing w:after="0" w:line="240" w:lineRule="auto"/>
            </w:pPr>
            <w:r>
              <w:rPr>
                <w:sz w:val="18"/>
              </w:rPr>
              <w:t>Intelektualne i osobne usluge</w:t>
            </w:r>
          </w:p>
        </w:tc>
        <w:tc>
          <w:tcPr>
            <w:tcW w:w="700" w:type="dxa"/>
            <w:tcMar>
              <w:top w:w="0" w:type="dxa"/>
              <w:bottom w:w="0" w:type="dxa"/>
            </w:tcMar>
            <w:vAlign w:val="center"/>
          </w:tcPr>
          <w:p w14:paraId="34BB2782" w14:textId="77777777" w:rsidR="007030E7" w:rsidRDefault="00296248">
            <w:pPr>
              <w:keepNext/>
              <w:keepLines/>
              <w:spacing w:after="0" w:line="240" w:lineRule="auto"/>
            </w:pPr>
            <w:r>
              <w:rPr>
                <w:sz w:val="18"/>
              </w:rPr>
              <w:t>3237</w:t>
            </w:r>
          </w:p>
        </w:tc>
        <w:tc>
          <w:tcPr>
            <w:tcW w:w="1860" w:type="dxa"/>
            <w:tcMar>
              <w:top w:w="0" w:type="dxa"/>
              <w:bottom w:w="0" w:type="dxa"/>
            </w:tcMar>
            <w:vAlign w:val="center"/>
          </w:tcPr>
          <w:p w14:paraId="0AE77188" w14:textId="77777777" w:rsidR="007030E7" w:rsidRDefault="00296248">
            <w:pPr>
              <w:keepNext/>
              <w:keepLines/>
              <w:spacing w:after="0" w:line="240" w:lineRule="auto"/>
              <w:jc w:val="right"/>
            </w:pPr>
            <w:r>
              <w:rPr>
                <w:sz w:val="18"/>
              </w:rPr>
              <w:t>22.137,50</w:t>
            </w:r>
          </w:p>
        </w:tc>
        <w:tc>
          <w:tcPr>
            <w:tcW w:w="1860" w:type="dxa"/>
            <w:tcMar>
              <w:top w:w="0" w:type="dxa"/>
              <w:bottom w:w="0" w:type="dxa"/>
            </w:tcMar>
            <w:vAlign w:val="center"/>
          </w:tcPr>
          <w:p w14:paraId="6BFB36EF" w14:textId="77777777" w:rsidR="007030E7" w:rsidRDefault="00296248">
            <w:pPr>
              <w:keepNext/>
              <w:keepLines/>
              <w:spacing w:after="0" w:line="240" w:lineRule="auto"/>
              <w:jc w:val="right"/>
            </w:pPr>
            <w:r>
              <w:rPr>
                <w:sz w:val="18"/>
              </w:rPr>
              <w:t>26.450,00</w:t>
            </w:r>
          </w:p>
        </w:tc>
        <w:tc>
          <w:tcPr>
            <w:tcW w:w="700" w:type="dxa"/>
            <w:tcMar>
              <w:top w:w="0" w:type="dxa"/>
              <w:bottom w:w="0" w:type="dxa"/>
            </w:tcMar>
            <w:vAlign w:val="center"/>
          </w:tcPr>
          <w:p w14:paraId="1F77686F" w14:textId="77777777" w:rsidR="007030E7" w:rsidRDefault="00296248">
            <w:pPr>
              <w:keepNext/>
              <w:keepLines/>
              <w:spacing w:after="0" w:line="240" w:lineRule="auto"/>
              <w:jc w:val="right"/>
            </w:pPr>
            <w:r>
              <w:rPr>
                <w:sz w:val="18"/>
              </w:rPr>
              <w:t>119,5</w:t>
            </w:r>
          </w:p>
        </w:tc>
      </w:tr>
    </w:tbl>
    <w:p w14:paraId="489A5DDD" w14:textId="77777777" w:rsidR="007030E7" w:rsidRDefault="007030E7">
      <w:pPr>
        <w:spacing w:after="0"/>
      </w:pPr>
    </w:p>
    <w:p w14:paraId="650FB6C8" w14:textId="77777777" w:rsidR="007030E7" w:rsidRDefault="00296248">
      <w:r>
        <w:t>Povećanje je zbog varijabilne godišnje potrebe korištenja intelektualnih usluga</w:t>
      </w:r>
    </w:p>
    <w:p w14:paraId="26E40C25" w14:textId="77777777" w:rsidR="007030E7" w:rsidRDefault="007030E7"/>
    <w:p w14:paraId="15B2BA17" w14:textId="77777777" w:rsidR="007030E7" w:rsidRDefault="00296248">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515E67B2" w14:textId="77777777">
        <w:trPr>
          <w:cantSplit/>
        </w:trPr>
        <w:tc>
          <w:tcPr>
            <w:tcW w:w="700" w:type="dxa"/>
            <w:shd w:val="clear" w:color="auto" w:fill="E7F0F9"/>
            <w:tcMar>
              <w:top w:w="0" w:type="dxa"/>
              <w:bottom w:w="0" w:type="dxa"/>
            </w:tcMar>
            <w:vAlign w:val="center"/>
          </w:tcPr>
          <w:p w14:paraId="0499C53F"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30C0E7"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652E8A"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B74F0E"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60ADA5"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F25973" w14:textId="77777777" w:rsidR="007030E7" w:rsidRDefault="00296248">
            <w:pPr>
              <w:keepNext/>
              <w:keepLines/>
              <w:spacing w:after="0" w:line="240" w:lineRule="auto"/>
              <w:jc w:val="center"/>
            </w:pPr>
            <w:r>
              <w:rPr>
                <w:b/>
                <w:sz w:val="18"/>
              </w:rPr>
              <w:t>Indeks (%)</w:t>
            </w:r>
          </w:p>
        </w:tc>
      </w:tr>
      <w:tr w:rsidR="007030E7" w14:paraId="5735363C" w14:textId="77777777">
        <w:trPr>
          <w:cantSplit/>
          <w:trHeight w:val="560"/>
        </w:trPr>
        <w:tc>
          <w:tcPr>
            <w:tcW w:w="700" w:type="dxa"/>
            <w:tcMar>
              <w:top w:w="0" w:type="dxa"/>
              <w:bottom w:w="0" w:type="dxa"/>
            </w:tcMar>
            <w:vAlign w:val="center"/>
          </w:tcPr>
          <w:p w14:paraId="2DBCE61E" w14:textId="77777777" w:rsidR="007030E7" w:rsidRDefault="00296248">
            <w:pPr>
              <w:keepNext/>
              <w:keepLines/>
              <w:spacing w:after="0" w:line="240" w:lineRule="auto"/>
            </w:pPr>
            <w:r>
              <w:rPr>
                <w:sz w:val="18"/>
              </w:rPr>
              <w:t>3238</w:t>
            </w:r>
          </w:p>
        </w:tc>
        <w:tc>
          <w:tcPr>
            <w:tcW w:w="3180" w:type="dxa"/>
            <w:tcMar>
              <w:top w:w="0" w:type="dxa"/>
              <w:bottom w:w="0" w:type="dxa"/>
            </w:tcMar>
            <w:vAlign w:val="center"/>
          </w:tcPr>
          <w:p w14:paraId="42D4C731" w14:textId="77777777" w:rsidR="007030E7" w:rsidRDefault="00296248">
            <w:pPr>
              <w:keepNext/>
              <w:keepLines/>
              <w:spacing w:after="0" w:line="240" w:lineRule="auto"/>
            </w:pPr>
            <w:r>
              <w:rPr>
                <w:sz w:val="18"/>
              </w:rPr>
              <w:t>Računalne usluge</w:t>
            </w:r>
          </w:p>
        </w:tc>
        <w:tc>
          <w:tcPr>
            <w:tcW w:w="700" w:type="dxa"/>
            <w:tcMar>
              <w:top w:w="0" w:type="dxa"/>
              <w:bottom w:w="0" w:type="dxa"/>
            </w:tcMar>
            <w:vAlign w:val="center"/>
          </w:tcPr>
          <w:p w14:paraId="77EA88C6" w14:textId="77777777" w:rsidR="007030E7" w:rsidRDefault="00296248">
            <w:pPr>
              <w:keepNext/>
              <w:keepLines/>
              <w:spacing w:after="0" w:line="240" w:lineRule="auto"/>
            </w:pPr>
            <w:r>
              <w:rPr>
                <w:sz w:val="18"/>
              </w:rPr>
              <w:t>3238</w:t>
            </w:r>
          </w:p>
        </w:tc>
        <w:tc>
          <w:tcPr>
            <w:tcW w:w="1860" w:type="dxa"/>
            <w:tcMar>
              <w:top w:w="0" w:type="dxa"/>
              <w:bottom w:w="0" w:type="dxa"/>
            </w:tcMar>
            <w:vAlign w:val="center"/>
          </w:tcPr>
          <w:p w14:paraId="7B8E1C4C" w14:textId="77777777" w:rsidR="007030E7" w:rsidRDefault="00296248">
            <w:pPr>
              <w:keepNext/>
              <w:keepLines/>
              <w:spacing w:after="0" w:line="240" w:lineRule="auto"/>
              <w:jc w:val="right"/>
            </w:pPr>
            <w:r>
              <w:rPr>
                <w:sz w:val="18"/>
              </w:rPr>
              <w:t>160.611,96</w:t>
            </w:r>
          </w:p>
        </w:tc>
        <w:tc>
          <w:tcPr>
            <w:tcW w:w="1860" w:type="dxa"/>
            <w:tcMar>
              <w:top w:w="0" w:type="dxa"/>
              <w:bottom w:w="0" w:type="dxa"/>
            </w:tcMar>
            <w:vAlign w:val="center"/>
          </w:tcPr>
          <w:p w14:paraId="15E07FEE" w14:textId="77777777" w:rsidR="007030E7" w:rsidRDefault="00296248">
            <w:pPr>
              <w:keepNext/>
              <w:keepLines/>
              <w:spacing w:after="0" w:line="240" w:lineRule="auto"/>
              <w:jc w:val="right"/>
            </w:pPr>
            <w:r>
              <w:rPr>
                <w:sz w:val="18"/>
              </w:rPr>
              <w:t>113.786,70</w:t>
            </w:r>
          </w:p>
        </w:tc>
        <w:tc>
          <w:tcPr>
            <w:tcW w:w="700" w:type="dxa"/>
            <w:tcMar>
              <w:top w:w="0" w:type="dxa"/>
              <w:bottom w:w="0" w:type="dxa"/>
            </w:tcMar>
            <w:vAlign w:val="center"/>
          </w:tcPr>
          <w:p w14:paraId="60988BBA" w14:textId="77777777" w:rsidR="007030E7" w:rsidRDefault="00296248">
            <w:pPr>
              <w:keepNext/>
              <w:keepLines/>
              <w:spacing w:after="0" w:line="240" w:lineRule="auto"/>
              <w:jc w:val="right"/>
            </w:pPr>
            <w:r>
              <w:rPr>
                <w:sz w:val="18"/>
              </w:rPr>
              <w:t>70,8</w:t>
            </w:r>
          </w:p>
        </w:tc>
      </w:tr>
    </w:tbl>
    <w:p w14:paraId="2F6E8991" w14:textId="77777777" w:rsidR="007030E7" w:rsidRDefault="007030E7">
      <w:pPr>
        <w:spacing w:after="0"/>
      </w:pPr>
    </w:p>
    <w:p w14:paraId="3EA05D7D" w14:textId="77777777" w:rsidR="007030E7" w:rsidRDefault="00296248">
      <w:r>
        <w:t xml:space="preserve">Smanjenje je rezultat različitog godišnjeg opsega i troškova  projektnih  aktivnosti razvoja  digitalnih poslovnih aplikacija  uz približno jednaku razinu rashoda za ostale redovne računalne usluge održavanja infrastrukture   (mrežne i hardverske opreme), održavanja mrežnih stranica Zavoda, razvoja i održavanja internih poslovnih aplikacija i korisničkih aplikacija za elektroničke usluge te održavanja računovodstvenih programa. U izvještajnom razdoblju je proveden projekt razvoja nove funkcionalnosti korisničke e-usluge (mogućnost zbirne uplate naknada troškova postupaka i održavanja prava u vrijednosti), a u usporednom razdoblju  je proveden opsežniji projekt razvoja razmjene podataka s EUIPO-om korištenjem </w:t>
      </w:r>
      <w:proofErr w:type="spellStart"/>
      <w:r>
        <w:t>block-chain</w:t>
      </w:r>
      <w:proofErr w:type="spellEnd"/>
      <w:r>
        <w:t xml:space="preserve"> tehnologije te projekt analize i pripreme dokumentacije za nabavu novog sustava elektroničkog poslovanja i upravljanja dokumentima.</w:t>
      </w:r>
    </w:p>
    <w:p w14:paraId="292F47C6" w14:textId="77777777" w:rsidR="007030E7" w:rsidRDefault="007030E7"/>
    <w:p w14:paraId="15E135B9" w14:textId="77777777" w:rsidR="007030E7" w:rsidRDefault="00296248">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3550796C" w14:textId="77777777">
        <w:trPr>
          <w:cantSplit/>
        </w:trPr>
        <w:tc>
          <w:tcPr>
            <w:tcW w:w="700" w:type="dxa"/>
            <w:shd w:val="clear" w:color="auto" w:fill="E7F0F9"/>
            <w:tcMar>
              <w:top w:w="0" w:type="dxa"/>
              <w:bottom w:w="0" w:type="dxa"/>
            </w:tcMar>
            <w:vAlign w:val="center"/>
          </w:tcPr>
          <w:p w14:paraId="7BD6B5EC"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0E1604"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6F9E3F"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16CE66"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F8EE1A"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D34D7D" w14:textId="77777777" w:rsidR="007030E7" w:rsidRDefault="00296248">
            <w:pPr>
              <w:keepNext/>
              <w:keepLines/>
              <w:spacing w:after="0" w:line="240" w:lineRule="auto"/>
              <w:jc w:val="center"/>
            </w:pPr>
            <w:r>
              <w:rPr>
                <w:b/>
                <w:sz w:val="18"/>
              </w:rPr>
              <w:t>Indeks (%)</w:t>
            </w:r>
          </w:p>
        </w:tc>
      </w:tr>
      <w:tr w:rsidR="007030E7" w14:paraId="55997B2F" w14:textId="77777777">
        <w:trPr>
          <w:cantSplit/>
          <w:trHeight w:val="560"/>
        </w:trPr>
        <w:tc>
          <w:tcPr>
            <w:tcW w:w="700" w:type="dxa"/>
            <w:tcMar>
              <w:top w:w="0" w:type="dxa"/>
              <w:bottom w:w="0" w:type="dxa"/>
            </w:tcMar>
            <w:vAlign w:val="center"/>
          </w:tcPr>
          <w:p w14:paraId="6B4EE2DF" w14:textId="77777777" w:rsidR="007030E7" w:rsidRDefault="00296248">
            <w:pPr>
              <w:keepNext/>
              <w:keepLines/>
              <w:spacing w:after="0" w:line="240" w:lineRule="auto"/>
            </w:pPr>
            <w:r>
              <w:rPr>
                <w:sz w:val="18"/>
              </w:rPr>
              <w:t>3239</w:t>
            </w:r>
          </w:p>
        </w:tc>
        <w:tc>
          <w:tcPr>
            <w:tcW w:w="3180" w:type="dxa"/>
            <w:tcMar>
              <w:top w:w="0" w:type="dxa"/>
              <w:bottom w:w="0" w:type="dxa"/>
            </w:tcMar>
            <w:vAlign w:val="center"/>
          </w:tcPr>
          <w:p w14:paraId="4C627F85" w14:textId="77777777" w:rsidR="007030E7" w:rsidRDefault="00296248">
            <w:pPr>
              <w:keepNext/>
              <w:keepLines/>
              <w:spacing w:after="0" w:line="240" w:lineRule="auto"/>
            </w:pPr>
            <w:r>
              <w:rPr>
                <w:sz w:val="18"/>
              </w:rPr>
              <w:t>Ostale usluge</w:t>
            </w:r>
          </w:p>
        </w:tc>
        <w:tc>
          <w:tcPr>
            <w:tcW w:w="700" w:type="dxa"/>
            <w:tcMar>
              <w:top w:w="0" w:type="dxa"/>
              <w:bottom w:w="0" w:type="dxa"/>
            </w:tcMar>
            <w:vAlign w:val="center"/>
          </w:tcPr>
          <w:p w14:paraId="79C2EA8E" w14:textId="77777777" w:rsidR="007030E7" w:rsidRDefault="00296248">
            <w:pPr>
              <w:keepNext/>
              <w:keepLines/>
              <w:spacing w:after="0" w:line="240" w:lineRule="auto"/>
            </w:pPr>
            <w:r>
              <w:rPr>
                <w:sz w:val="18"/>
              </w:rPr>
              <w:t>3239</w:t>
            </w:r>
          </w:p>
        </w:tc>
        <w:tc>
          <w:tcPr>
            <w:tcW w:w="1860" w:type="dxa"/>
            <w:tcMar>
              <w:top w:w="0" w:type="dxa"/>
              <w:bottom w:w="0" w:type="dxa"/>
            </w:tcMar>
            <w:vAlign w:val="center"/>
          </w:tcPr>
          <w:p w14:paraId="45AD303D" w14:textId="77777777" w:rsidR="007030E7" w:rsidRDefault="00296248">
            <w:pPr>
              <w:keepNext/>
              <w:keepLines/>
              <w:spacing w:after="0" w:line="240" w:lineRule="auto"/>
              <w:jc w:val="right"/>
            </w:pPr>
            <w:r>
              <w:rPr>
                <w:sz w:val="18"/>
              </w:rPr>
              <w:t>16.566,13</w:t>
            </w:r>
          </w:p>
        </w:tc>
        <w:tc>
          <w:tcPr>
            <w:tcW w:w="1860" w:type="dxa"/>
            <w:tcMar>
              <w:top w:w="0" w:type="dxa"/>
              <w:bottom w:w="0" w:type="dxa"/>
            </w:tcMar>
            <w:vAlign w:val="center"/>
          </w:tcPr>
          <w:p w14:paraId="2020684F" w14:textId="77777777" w:rsidR="007030E7" w:rsidRDefault="00296248">
            <w:pPr>
              <w:keepNext/>
              <w:keepLines/>
              <w:spacing w:after="0" w:line="240" w:lineRule="auto"/>
              <w:jc w:val="right"/>
            </w:pPr>
            <w:r>
              <w:rPr>
                <w:sz w:val="18"/>
              </w:rPr>
              <w:t>28.733,59</w:t>
            </w:r>
          </w:p>
        </w:tc>
        <w:tc>
          <w:tcPr>
            <w:tcW w:w="700" w:type="dxa"/>
            <w:tcMar>
              <w:top w:w="0" w:type="dxa"/>
              <w:bottom w:w="0" w:type="dxa"/>
            </w:tcMar>
            <w:vAlign w:val="center"/>
          </w:tcPr>
          <w:p w14:paraId="164E5181" w14:textId="77777777" w:rsidR="007030E7" w:rsidRDefault="00296248">
            <w:pPr>
              <w:keepNext/>
              <w:keepLines/>
              <w:spacing w:after="0" w:line="240" w:lineRule="auto"/>
              <w:jc w:val="right"/>
            </w:pPr>
            <w:r>
              <w:rPr>
                <w:sz w:val="18"/>
              </w:rPr>
              <w:t>173,4</w:t>
            </w:r>
          </w:p>
        </w:tc>
      </w:tr>
    </w:tbl>
    <w:p w14:paraId="7C179230" w14:textId="77777777" w:rsidR="007030E7" w:rsidRDefault="007030E7">
      <w:pPr>
        <w:spacing w:after="0"/>
      </w:pPr>
    </w:p>
    <w:p w14:paraId="2F502CA8" w14:textId="77777777" w:rsidR="007030E7" w:rsidRDefault="00296248">
      <w:r>
        <w:t xml:space="preserve">Povećanje rashoda je rezultat  varijabilnog godišnjeg obima korištenja usluga vezanih uz pripremu i provedbu promotivnih aktivnosti  (tiskarske i grafičke usluge za promotivne materijale, fotografske usluge tijekom javnih događanja, priprema za </w:t>
      </w:r>
      <w:proofErr w:type="spellStart"/>
      <w:r>
        <w:t>obilježevenje</w:t>
      </w:r>
      <w:proofErr w:type="spellEnd"/>
      <w:r>
        <w:t xml:space="preserve"> jubilarne 35 godišnjice osnivanja DZIV-a) i porasta cijena usluga</w:t>
      </w:r>
    </w:p>
    <w:p w14:paraId="31CDEE31" w14:textId="77777777" w:rsidR="007030E7" w:rsidRDefault="007030E7"/>
    <w:p w14:paraId="44379A61" w14:textId="77777777" w:rsidR="007030E7" w:rsidRDefault="00296248">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4F65FA78" w14:textId="77777777">
        <w:trPr>
          <w:cantSplit/>
        </w:trPr>
        <w:tc>
          <w:tcPr>
            <w:tcW w:w="700" w:type="dxa"/>
            <w:shd w:val="clear" w:color="auto" w:fill="E7F0F9"/>
            <w:tcMar>
              <w:top w:w="0" w:type="dxa"/>
              <w:bottom w:w="0" w:type="dxa"/>
            </w:tcMar>
            <w:vAlign w:val="center"/>
          </w:tcPr>
          <w:p w14:paraId="242A4725"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F809FF"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A42DEA"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823F47"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C25564"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52CBEC" w14:textId="77777777" w:rsidR="007030E7" w:rsidRDefault="00296248">
            <w:pPr>
              <w:keepNext/>
              <w:keepLines/>
              <w:spacing w:after="0" w:line="240" w:lineRule="auto"/>
              <w:jc w:val="center"/>
            </w:pPr>
            <w:r>
              <w:rPr>
                <w:b/>
                <w:sz w:val="18"/>
              </w:rPr>
              <w:t>Indeks (%)</w:t>
            </w:r>
          </w:p>
        </w:tc>
      </w:tr>
      <w:tr w:rsidR="007030E7" w14:paraId="6813E477" w14:textId="77777777">
        <w:trPr>
          <w:cantSplit/>
          <w:trHeight w:val="560"/>
        </w:trPr>
        <w:tc>
          <w:tcPr>
            <w:tcW w:w="700" w:type="dxa"/>
            <w:tcMar>
              <w:top w:w="0" w:type="dxa"/>
              <w:bottom w:w="0" w:type="dxa"/>
            </w:tcMar>
            <w:vAlign w:val="center"/>
          </w:tcPr>
          <w:p w14:paraId="1646B05A" w14:textId="77777777" w:rsidR="007030E7" w:rsidRDefault="00296248">
            <w:pPr>
              <w:keepNext/>
              <w:keepLines/>
              <w:spacing w:after="0" w:line="240" w:lineRule="auto"/>
            </w:pPr>
            <w:r>
              <w:rPr>
                <w:sz w:val="18"/>
              </w:rPr>
              <w:t>324</w:t>
            </w:r>
          </w:p>
        </w:tc>
        <w:tc>
          <w:tcPr>
            <w:tcW w:w="3180" w:type="dxa"/>
            <w:tcMar>
              <w:top w:w="0" w:type="dxa"/>
              <w:bottom w:w="0" w:type="dxa"/>
            </w:tcMar>
            <w:vAlign w:val="center"/>
          </w:tcPr>
          <w:p w14:paraId="30E82F9C" w14:textId="77777777" w:rsidR="007030E7" w:rsidRDefault="00296248">
            <w:pPr>
              <w:keepNext/>
              <w:keepLines/>
              <w:spacing w:after="0" w:line="240" w:lineRule="auto"/>
            </w:pPr>
            <w:r>
              <w:rPr>
                <w:sz w:val="18"/>
              </w:rPr>
              <w:t>Naknade troškova osobama izvan radnog odnosa</w:t>
            </w:r>
          </w:p>
        </w:tc>
        <w:tc>
          <w:tcPr>
            <w:tcW w:w="700" w:type="dxa"/>
            <w:tcMar>
              <w:top w:w="0" w:type="dxa"/>
              <w:bottom w:w="0" w:type="dxa"/>
            </w:tcMar>
            <w:vAlign w:val="center"/>
          </w:tcPr>
          <w:p w14:paraId="56772F04" w14:textId="77777777" w:rsidR="007030E7" w:rsidRDefault="00296248">
            <w:pPr>
              <w:keepNext/>
              <w:keepLines/>
              <w:spacing w:after="0" w:line="240" w:lineRule="auto"/>
            </w:pPr>
            <w:r>
              <w:rPr>
                <w:sz w:val="18"/>
              </w:rPr>
              <w:t>324</w:t>
            </w:r>
          </w:p>
        </w:tc>
        <w:tc>
          <w:tcPr>
            <w:tcW w:w="1860" w:type="dxa"/>
            <w:tcMar>
              <w:top w:w="0" w:type="dxa"/>
              <w:bottom w:w="0" w:type="dxa"/>
            </w:tcMar>
            <w:vAlign w:val="center"/>
          </w:tcPr>
          <w:p w14:paraId="355380E6" w14:textId="77777777" w:rsidR="007030E7" w:rsidRDefault="00296248">
            <w:pPr>
              <w:keepNext/>
              <w:keepLines/>
              <w:spacing w:after="0" w:line="240" w:lineRule="auto"/>
              <w:jc w:val="right"/>
            </w:pPr>
            <w:r>
              <w:rPr>
                <w:sz w:val="18"/>
              </w:rPr>
              <w:t>0,00</w:t>
            </w:r>
          </w:p>
        </w:tc>
        <w:tc>
          <w:tcPr>
            <w:tcW w:w="1860" w:type="dxa"/>
            <w:tcMar>
              <w:top w:w="0" w:type="dxa"/>
              <w:bottom w:w="0" w:type="dxa"/>
            </w:tcMar>
            <w:vAlign w:val="center"/>
          </w:tcPr>
          <w:p w14:paraId="5F84C63A" w14:textId="77777777" w:rsidR="007030E7" w:rsidRDefault="00296248">
            <w:pPr>
              <w:keepNext/>
              <w:keepLines/>
              <w:spacing w:after="0" w:line="240" w:lineRule="auto"/>
              <w:jc w:val="right"/>
            </w:pPr>
            <w:r>
              <w:rPr>
                <w:sz w:val="18"/>
              </w:rPr>
              <w:t>7.136,27</w:t>
            </w:r>
          </w:p>
        </w:tc>
        <w:tc>
          <w:tcPr>
            <w:tcW w:w="700" w:type="dxa"/>
            <w:tcMar>
              <w:top w:w="0" w:type="dxa"/>
              <w:bottom w:w="0" w:type="dxa"/>
            </w:tcMar>
            <w:vAlign w:val="center"/>
          </w:tcPr>
          <w:p w14:paraId="03B594A3" w14:textId="77777777" w:rsidR="007030E7" w:rsidRDefault="00296248">
            <w:pPr>
              <w:keepNext/>
              <w:keepLines/>
              <w:spacing w:after="0" w:line="240" w:lineRule="auto"/>
              <w:jc w:val="right"/>
            </w:pPr>
            <w:r>
              <w:rPr>
                <w:sz w:val="18"/>
              </w:rPr>
              <w:t>-</w:t>
            </w:r>
          </w:p>
        </w:tc>
      </w:tr>
    </w:tbl>
    <w:p w14:paraId="5E308C5C" w14:textId="77777777" w:rsidR="007030E7" w:rsidRDefault="007030E7">
      <w:pPr>
        <w:spacing w:after="0"/>
      </w:pPr>
    </w:p>
    <w:p w14:paraId="07858B2E" w14:textId="77777777" w:rsidR="007030E7" w:rsidRDefault="00296248">
      <w:r>
        <w:t>Povećanje rashoda je rezultat reguliranja načina trošenja namjenskih prihoda od uplate iznosa naknada troškova državama članicama za poslove povezane sa sustavom žiga EU-a  (</w:t>
      </w:r>
      <w:proofErr w:type="spellStart"/>
      <w:r>
        <w:t>tzv.offsetting</w:t>
      </w:r>
      <w:proofErr w:type="spellEnd"/>
      <w:r>
        <w:t>) Pravilnikom o načinu korištenja namjenskih prihoda, nenamjenskih donacija i vlastitih prihoda DZIV-a koji se primjenjuje od 2025. godine. Sukladno tom  Pravilniku, u čl.7. točka 2. regulirano je korištenje dijela ovih sredstava za pokriće troškova sudjelovanja djelatnika pravosudnih tijela u programima stručnog usavršavanja i drugim aktivnostima suradnje s EUIPO-om u području prava intelektualnog vlasništva. U 2025. godini s ove stavke su pokrivani navedeni troškovi sudjelovanja djelatnika pravosudnih tijela kao  vanjskih suradnika, dok u 2024. godini nisu jer još nije bilo regulirano trošenje predmetnih  namjenskih sredstava.</w:t>
      </w:r>
    </w:p>
    <w:p w14:paraId="29390A73" w14:textId="77777777" w:rsidR="007030E7" w:rsidRDefault="007030E7"/>
    <w:p w14:paraId="0C52B419" w14:textId="77777777" w:rsidR="007030E7" w:rsidRDefault="00296248">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38823FFB" w14:textId="77777777">
        <w:trPr>
          <w:cantSplit/>
        </w:trPr>
        <w:tc>
          <w:tcPr>
            <w:tcW w:w="700" w:type="dxa"/>
            <w:shd w:val="clear" w:color="auto" w:fill="E7F0F9"/>
            <w:tcMar>
              <w:top w:w="0" w:type="dxa"/>
              <w:bottom w:w="0" w:type="dxa"/>
            </w:tcMar>
            <w:vAlign w:val="center"/>
          </w:tcPr>
          <w:p w14:paraId="5BD3E026"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4AED11"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758828"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F53E59"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65B1AD"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5E0F6A" w14:textId="77777777" w:rsidR="007030E7" w:rsidRDefault="00296248">
            <w:pPr>
              <w:keepNext/>
              <w:keepLines/>
              <w:spacing w:after="0" w:line="240" w:lineRule="auto"/>
              <w:jc w:val="center"/>
            </w:pPr>
            <w:r>
              <w:rPr>
                <w:b/>
                <w:sz w:val="18"/>
              </w:rPr>
              <w:t>Indeks (%)</w:t>
            </w:r>
          </w:p>
        </w:tc>
      </w:tr>
      <w:tr w:rsidR="007030E7" w14:paraId="73644F6F" w14:textId="77777777">
        <w:trPr>
          <w:cantSplit/>
          <w:trHeight w:val="560"/>
        </w:trPr>
        <w:tc>
          <w:tcPr>
            <w:tcW w:w="700" w:type="dxa"/>
            <w:tcMar>
              <w:top w:w="0" w:type="dxa"/>
              <w:bottom w:w="0" w:type="dxa"/>
            </w:tcMar>
            <w:vAlign w:val="center"/>
          </w:tcPr>
          <w:p w14:paraId="77DD5E4A" w14:textId="77777777" w:rsidR="007030E7" w:rsidRDefault="00296248">
            <w:pPr>
              <w:keepNext/>
              <w:keepLines/>
              <w:spacing w:after="0" w:line="240" w:lineRule="auto"/>
            </w:pPr>
            <w:r>
              <w:rPr>
                <w:sz w:val="18"/>
              </w:rPr>
              <w:t>3291</w:t>
            </w:r>
          </w:p>
        </w:tc>
        <w:tc>
          <w:tcPr>
            <w:tcW w:w="3180" w:type="dxa"/>
            <w:tcMar>
              <w:top w:w="0" w:type="dxa"/>
              <w:bottom w:w="0" w:type="dxa"/>
            </w:tcMar>
            <w:vAlign w:val="center"/>
          </w:tcPr>
          <w:p w14:paraId="0277427C" w14:textId="77777777" w:rsidR="007030E7" w:rsidRDefault="00296248">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343E3D6E" w14:textId="77777777" w:rsidR="007030E7" w:rsidRDefault="00296248">
            <w:pPr>
              <w:keepNext/>
              <w:keepLines/>
              <w:spacing w:after="0" w:line="240" w:lineRule="auto"/>
            </w:pPr>
            <w:r>
              <w:rPr>
                <w:sz w:val="18"/>
              </w:rPr>
              <w:t>3291</w:t>
            </w:r>
          </w:p>
        </w:tc>
        <w:tc>
          <w:tcPr>
            <w:tcW w:w="1860" w:type="dxa"/>
            <w:tcMar>
              <w:top w:w="0" w:type="dxa"/>
              <w:bottom w:w="0" w:type="dxa"/>
            </w:tcMar>
            <w:vAlign w:val="center"/>
          </w:tcPr>
          <w:p w14:paraId="52C76926" w14:textId="77777777" w:rsidR="007030E7" w:rsidRDefault="00296248">
            <w:pPr>
              <w:keepNext/>
              <w:keepLines/>
              <w:spacing w:after="0" w:line="240" w:lineRule="auto"/>
              <w:jc w:val="right"/>
            </w:pPr>
            <w:r>
              <w:rPr>
                <w:sz w:val="18"/>
              </w:rPr>
              <w:t>5.960,31</w:t>
            </w:r>
          </w:p>
        </w:tc>
        <w:tc>
          <w:tcPr>
            <w:tcW w:w="1860" w:type="dxa"/>
            <w:tcMar>
              <w:top w:w="0" w:type="dxa"/>
              <w:bottom w:w="0" w:type="dxa"/>
            </w:tcMar>
            <w:vAlign w:val="center"/>
          </w:tcPr>
          <w:p w14:paraId="4719AC86" w14:textId="77777777" w:rsidR="007030E7" w:rsidRDefault="00296248">
            <w:pPr>
              <w:keepNext/>
              <w:keepLines/>
              <w:spacing w:after="0" w:line="240" w:lineRule="auto"/>
              <w:jc w:val="right"/>
            </w:pPr>
            <w:r>
              <w:rPr>
                <w:sz w:val="18"/>
              </w:rPr>
              <w:t>3.254,68</w:t>
            </w:r>
          </w:p>
        </w:tc>
        <w:tc>
          <w:tcPr>
            <w:tcW w:w="700" w:type="dxa"/>
            <w:tcMar>
              <w:top w:w="0" w:type="dxa"/>
              <w:bottom w:w="0" w:type="dxa"/>
            </w:tcMar>
            <w:vAlign w:val="center"/>
          </w:tcPr>
          <w:p w14:paraId="3EFC62BA" w14:textId="77777777" w:rsidR="007030E7" w:rsidRDefault="00296248">
            <w:pPr>
              <w:keepNext/>
              <w:keepLines/>
              <w:spacing w:after="0" w:line="240" w:lineRule="auto"/>
              <w:jc w:val="right"/>
            </w:pPr>
            <w:r>
              <w:rPr>
                <w:sz w:val="18"/>
              </w:rPr>
              <w:t>54,6</w:t>
            </w:r>
          </w:p>
        </w:tc>
      </w:tr>
    </w:tbl>
    <w:p w14:paraId="6A485BAB" w14:textId="77777777" w:rsidR="007030E7" w:rsidRDefault="007030E7">
      <w:pPr>
        <w:spacing w:after="0"/>
      </w:pPr>
    </w:p>
    <w:p w14:paraId="74F1A32F" w14:textId="77777777" w:rsidR="007030E7" w:rsidRDefault="00296248">
      <w:r>
        <w:t xml:space="preserve">Smanjenje rashoda je rezultat varijabilnih godišnjih rashoda za  naknade ispitnim povjerenstvima za stručne ispite za ovlaštene zastupnike u području prava </w:t>
      </w:r>
      <w:proofErr w:type="spellStart"/>
      <w:r>
        <w:t>industrijsklog</w:t>
      </w:r>
      <w:proofErr w:type="spellEnd"/>
      <w:r>
        <w:t xml:space="preserve"> vlasništva koji ovise o godišnjem broju prijavljenih kandidata i njihovoj uspješnosti na ispitima. U manjem dijelu rashodi su niži i zbog konačnog potpunog prestanka rada Žalbena vijeća u području prava industrijskog vlasništva u 2024. godini, zbog čega u 2025. godini nije bilo  rashoda za pokrivanje troškova rada Žalbenih vijeća.</w:t>
      </w:r>
    </w:p>
    <w:p w14:paraId="750E29C6" w14:textId="77777777" w:rsidR="007030E7" w:rsidRDefault="007030E7"/>
    <w:p w14:paraId="3B6579C1" w14:textId="77777777" w:rsidR="007030E7" w:rsidRDefault="00296248">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6A644681" w14:textId="77777777">
        <w:trPr>
          <w:cantSplit/>
        </w:trPr>
        <w:tc>
          <w:tcPr>
            <w:tcW w:w="700" w:type="dxa"/>
            <w:shd w:val="clear" w:color="auto" w:fill="E7F0F9"/>
            <w:tcMar>
              <w:top w:w="0" w:type="dxa"/>
              <w:bottom w:w="0" w:type="dxa"/>
            </w:tcMar>
            <w:vAlign w:val="center"/>
          </w:tcPr>
          <w:p w14:paraId="3EFCBF73"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496C8F"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D64BE3"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2A4E88"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13A195"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2A935E" w14:textId="77777777" w:rsidR="007030E7" w:rsidRDefault="00296248">
            <w:pPr>
              <w:keepNext/>
              <w:keepLines/>
              <w:spacing w:after="0" w:line="240" w:lineRule="auto"/>
              <w:jc w:val="center"/>
            </w:pPr>
            <w:r>
              <w:rPr>
                <w:b/>
                <w:sz w:val="18"/>
              </w:rPr>
              <w:t>Indeks (%)</w:t>
            </w:r>
          </w:p>
        </w:tc>
      </w:tr>
      <w:tr w:rsidR="007030E7" w14:paraId="26ED377F" w14:textId="77777777">
        <w:trPr>
          <w:cantSplit/>
          <w:trHeight w:val="560"/>
        </w:trPr>
        <w:tc>
          <w:tcPr>
            <w:tcW w:w="700" w:type="dxa"/>
            <w:tcMar>
              <w:top w:w="0" w:type="dxa"/>
              <w:bottom w:w="0" w:type="dxa"/>
            </w:tcMar>
            <w:vAlign w:val="center"/>
          </w:tcPr>
          <w:p w14:paraId="23F1AD0A" w14:textId="77777777" w:rsidR="007030E7" w:rsidRDefault="00296248">
            <w:pPr>
              <w:keepNext/>
              <w:keepLines/>
              <w:spacing w:after="0" w:line="240" w:lineRule="auto"/>
            </w:pPr>
            <w:r>
              <w:rPr>
                <w:sz w:val="18"/>
              </w:rPr>
              <w:t>3293</w:t>
            </w:r>
          </w:p>
        </w:tc>
        <w:tc>
          <w:tcPr>
            <w:tcW w:w="3180" w:type="dxa"/>
            <w:tcMar>
              <w:top w:w="0" w:type="dxa"/>
              <w:bottom w:w="0" w:type="dxa"/>
            </w:tcMar>
            <w:vAlign w:val="center"/>
          </w:tcPr>
          <w:p w14:paraId="09881AE0" w14:textId="77777777" w:rsidR="007030E7" w:rsidRDefault="00296248">
            <w:pPr>
              <w:keepNext/>
              <w:keepLines/>
              <w:spacing w:after="0" w:line="240" w:lineRule="auto"/>
            </w:pPr>
            <w:r>
              <w:rPr>
                <w:sz w:val="18"/>
              </w:rPr>
              <w:t>Reprezentacija</w:t>
            </w:r>
          </w:p>
        </w:tc>
        <w:tc>
          <w:tcPr>
            <w:tcW w:w="700" w:type="dxa"/>
            <w:tcMar>
              <w:top w:w="0" w:type="dxa"/>
              <w:bottom w:w="0" w:type="dxa"/>
            </w:tcMar>
            <w:vAlign w:val="center"/>
          </w:tcPr>
          <w:p w14:paraId="457BA65E" w14:textId="77777777" w:rsidR="007030E7" w:rsidRDefault="00296248">
            <w:pPr>
              <w:keepNext/>
              <w:keepLines/>
              <w:spacing w:after="0" w:line="240" w:lineRule="auto"/>
            </w:pPr>
            <w:r>
              <w:rPr>
                <w:sz w:val="18"/>
              </w:rPr>
              <w:t>3293</w:t>
            </w:r>
          </w:p>
        </w:tc>
        <w:tc>
          <w:tcPr>
            <w:tcW w:w="1860" w:type="dxa"/>
            <w:tcMar>
              <w:top w:w="0" w:type="dxa"/>
              <w:bottom w:w="0" w:type="dxa"/>
            </w:tcMar>
            <w:vAlign w:val="center"/>
          </w:tcPr>
          <w:p w14:paraId="33AA3752" w14:textId="77777777" w:rsidR="007030E7" w:rsidRDefault="00296248">
            <w:pPr>
              <w:keepNext/>
              <w:keepLines/>
              <w:spacing w:after="0" w:line="240" w:lineRule="auto"/>
              <w:jc w:val="right"/>
            </w:pPr>
            <w:r>
              <w:rPr>
                <w:sz w:val="18"/>
              </w:rPr>
              <w:t>3.295,92</w:t>
            </w:r>
          </w:p>
        </w:tc>
        <w:tc>
          <w:tcPr>
            <w:tcW w:w="1860" w:type="dxa"/>
            <w:tcMar>
              <w:top w:w="0" w:type="dxa"/>
              <w:bottom w:w="0" w:type="dxa"/>
            </w:tcMar>
            <w:vAlign w:val="center"/>
          </w:tcPr>
          <w:p w14:paraId="24191018" w14:textId="77777777" w:rsidR="007030E7" w:rsidRDefault="00296248">
            <w:pPr>
              <w:keepNext/>
              <w:keepLines/>
              <w:spacing w:after="0" w:line="240" w:lineRule="auto"/>
              <w:jc w:val="right"/>
            </w:pPr>
            <w:r>
              <w:rPr>
                <w:sz w:val="18"/>
              </w:rPr>
              <w:t>5.581,25</w:t>
            </w:r>
          </w:p>
        </w:tc>
        <w:tc>
          <w:tcPr>
            <w:tcW w:w="700" w:type="dxa"/>
            <w:tcMar>
              <w:top w:w="0" w:type="dxa"/>
              <w:bottom w:w="0" w:type="dxa"/>
            </w:tcMar>
            <w:vAlign w:val="center"/>
          </w:tcPr>
          <w:p w14:paraId="708B313F" w14:textId="77777777" w:rsidR="007030E7" w:rsidRDefault="00296248">
            <w:pPr>
              <w:keepNext/>
              <w:keepLines/>
              <w:spacing w:after="0" w:line="240" w:lineRule="auto"/>
              <w:jc w:val="right"/>
            </w:pPr>
            <w:r>
              <w:rPr>
                <w:sz w:val="18"/>
              </w:rPr>
              <w:t>169,3</w:t>
            </w:r>
          </w:p>
        </w:tc>
      </w:tr>
    </w:tbl>
    <w:p w14:paraId="7576D57B" w14:textId="77777777" w:rsidR="007030E7" w:rsidRDefault="007030E7">
      <w:pPr>
        <w:spacing w:after="0"/>
      </w:pPr>
    </w:p>
    <w:p w14:paraId="6AE8C16C" w14:textId="77777777" w:rsidR="007030E7" w:rsidRDefault="00296248">
      <w:r>
        <w:t>Povećanje rashoda je rezultat varijabilnog godišnjeg broja aktivnosti suradnje, domaćinstava  i organizacije javnih skupova. U 2025. godini značajniji rashodi odnose se na   troškove organizacije  konferencije „Tradicija i nacionalni identitet – zaštita oznaka zemljopisnog podrijetla za obrtničke i industrijske proizvode“ u travnju 2025. radi javne promocije novog sustava zaštita oznaka zemljopisnog podrijetla za obrtničke i industrijske proizvode na razini Europske unije.</w:t>
      </w:r>
    </w:p>
    <w:p w14:paraId="7E51423E" w14:textId="77777777" w:rsidR="007030E7" w:rsidRDefault="007030E7"/>
    <w:p w14:paraId="0E674807" w14:textId="77777777" w:rsidR="007030E7" w:rsidRDefault="00296248">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6F678F61" w14:textId="77777777">
        <w:trPr>
          <w:cantSplit/>
        </w:trPr>
        <w:tc>
          <w:tcPr>
            <w:tcW w:w="700" w:type="dxa"/>
            <w:shd w:val="clear" w:color="auto" w:fill="E7F0F9"/>
            <w:tcMar>
              <w:top w:w="0" w:type="dxa"/>
              <w:bottom w:w="0" w:type="dxa"/>
            </w:tcMar>
            <w:vAlign w:val="center"/>
          </w:tcPr>
          <w:p w14:paraId="2B42DFA1"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89E7F9"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95160C"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7B94FC"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0F8473"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592830" w14:textId="77777777" w:rsidR="007030E7" w:rsidRDefault="00296248">
            <w:pPr>
              <w:keepNext/>
              <w:keepLines/>
              <w:spacing w:after="0" w:line="240" w:lineRule="auto"/>
              <w:jc w:val="center"/>
            </w:pPr>
            <w:r>
              <w:rPr>
                <w:b/>
                <w:sz w:val="18"/>
              </w:rPr>
              <w:t>Indeks (%)</w:t>
            </w:r>
          </w:p>
        </w:tc>
      </w:tr>
      <w:tr w:rsidR="007030E7" w14:paraId="2B301C24" w14:textId="77777777">
        <w:trPr>
          <w:cantSplit/>
          <w:trHeight w:val="560"/>
        </w:trPr>
        <w:tc>
          <w:tcPr>
            <w:tcW w:w="700" w:type="dxa"/>
            <w:tcMar>
              <w:top w:w="0" w:type="dxa"/>
              <w:bottom w:w="0" w:type="dxa"/>
            </w:tcMar>
            <w:vAlign w:val="center"/>
          </w:tcPr>
          <w:p w14:paraId="72F46330" w14:textId="77777777" w:rsidR="007030E7" w:rsidRDefault="00296248">
            <w:pPr>
              <w:keepNext/>
              <w:keepLines/>
              <w:spacing w:after="0" w:line="240" w:lineRule="auto"/>
            </w:pPr>
            <w:r>
              <w:rPr>
                <w:sz w:val="18"/>
              </w:rPr>
              <w:t>3295</w:t>
            </w:r>
          </w:p>
        </w:tc>
        <w:tc>
          <w:tcPr>
            <w:tcW w:w="3180" w:type="dxa"/>
            <w:tcMar>
              <w:top w:w="0" w:type="dxa"/>
              <w:bottom w:w="0" w:type="dxa"/>
            </w:tcMar>
            <w:vAlign w:val="center"/>
          </w:tcPr>
          <w:p w14:paraId="248E1875" w14:textId="77777777" w:rsidR="007030E7" w:rsidRDefault="00296248">
            <w:pPr>
              <w:keepNext/>
              <w:keepLines/>
              <w:spacing w:after="0" w:line="240" w:lineRule="auto"/>
            </w:pPr>
            <w:r>
              <w:rPr>
                <w:sz w:val="18"/>
              </w:rPr>
              <w:t>Pristojbe i naknade</w:t>
            </w:r>
          </w:p>
        </w:tc>
        <w:tc>
          <w:tcPr>
            <w:tcW w:w="700" w:type="dxa"/>
            <w:tcMar>
              <w:top w:w="0" w:type="dxa"/>
              <w:bottom w:w="0" w:type="dxa"/>
            </w:tcMar>
            <w:vAlign w:val="center"/>
          </w:tcPr>
          <w:p w14:paraId="7A4D0942" w14:textId="77777777" w:rsidR="007030E7" w:rsidRDefault="00296248">
            <w:pPr>
              <w:keepNext/>
              <w:keepLines/>
              <w:spacing w:after="0" w:line="240" w:lineRule="auto"/>
            </w:pPr>
            <w:r>
              <w:rPr>
                <w:sz w:val="18"/>
              </w:rPr>
              <w:t>3295</w:t>
            </w:r>
          </w:p>
        </w:tc>
        <w:tc>
          <w:tcPr>
            <w:tcW w:w="1860" w:type="dxa"/>
            <w:tcMar>
              <w:top w:w="0" w:type="dxa"/>
              <w:bottom w:w="0" w:type="dxa"/>
            </w:tcMar>
            <w:vAlign w:val="center"/>
          </w:tcPr>
          <w:p w14:paraId="78691120" w14:textId="77777777" w:rsidR="007030E7" w:rsidRDefault="00296248">
            <w:pPr>
              <w:keepNext/>
              <w:keepLines/>
              <w:spacing w:after="0" w:line="240" w:lineRule="auto"/>
              <w:jc w:val="right"/>
            </w:pPr>
            <w:r>
              <w:rPr>
                <w:sz w:val="18"/>
              </w:rPr>
              <w:t>1.123.994,04</w:t>
            </w:r>
          </w:p>
        </w:tc>
        <w:tc>
          <w:tcPr>
            <w:tcW w:w="1860" w:type="dxa"/>
            <w:tcMar>
              <w:top w:w="0" w:type="dxa"/>
              <w:bottom w:w="0" w:type="dxa"/>
            </w:tcMar>
            <w:vAlign w:val="center"/>
          </w:tcPr>
          <w:p w14:paraId="71C2E50B" w14:textId="77777777" w:rsidR="007030E7" w:rsidRDefault="00296248">
            <w:pPr>
              <w:keepNext/>
              <w:keepLines/>
              <w:spacing w:after="0" w:line="240" w:lineRule="auto"/>
              <w:jc w:val="right"/>
            </w:pPr>
            <w:r>
              <w:rPr>
                <w:sz w:val="18"/>
              </w:rPr>
              <w:t>1.598.376,47</w:t>
            </w:r>
          </w:p>
        </w:tc>
        <w:tc>
          <w:tcPr>
            <w:tcW w:w="700" w:type="dxa"/>
            <w:tcMar>
              <w:top w:w="0" w:type="dxa"/>
              <w:bottom w:w="0" w:type="dxa"/>
            </w:tcMar>
            <w:vAlign w:val="center"/>
          </w:tcPr>
          <w:p w14:paraId="5CD9D0E7" w14:textId="77777777" w:rsidR="007030E7" w:rsidRDefault="00296248">
            <w:pPr>
              <w:keepNext/>
              <w:keepLines/>
              <w:spacing w:after="0" w:line="240" w:lineRule="auto"/>
              <w:jc w:val="right"/>
            </w:pPr>
            <w:r>
              <w:rPr>
                <w:sz w:val="18"/>
              </w:rPr>
              <w:t>142,2</w:t>
            </w:r>
          </w:p>
        </w:tc>
      </w:tr>
    </w:tbl>
    <w:p w14:paraId="6FB44BF8" w14:textId="77777777" w:rsidR="007030E7" w:rsidRDefault="007030E7">
      <w:pPr>
        <w:spacing w:after="0"/>
      </w:pPr>
    </w:p>
    <w:p w14:paraId="72D36074" w14:textId="77777777" w:rsidR="007030E7" w:rsidRDefault="00296248">
      <w:r>
        <w:t>Rashodi se odnose na prijenos dijela uplaćenih pristojbi međunarodnim organizacijama u području patenata sukladno obvezama iz međunarodnih ugovora kojih je Republika Hrvatska članica (vidjeti bilješku uz  6514). Najveći dio rashoda odnosi se na rashode temeljem Konvencije o priznavanju europskih patenata, odnosno prijenos Europskom patentnom uredu (EPO) dijela uplaćenih pristojbi za održavanje europskih patenata potvrđenih (</w:t>
      </w:r>
      <w:proofErr w:type="spellStart"/>
      <w:r>
        <w:t>validiranih</w:t>
      </w:r>
      <w:proofErr w:type="spellEnd"/>
      <w:r>
        <w:t xml:space="preserve">)  u Republici Hrvatskoj u vrijednosti.  Visina ovih rashoda ovisi o broju </w:t>
      </w:r>
      <w:proofErr w:type="spellStart"/>
      <w:r>
        <w:t>validiranih</w:t>
      </w:r>
      <w:proofErr w:type="spellEnd"/>
      <w:r>
        <w:t xml:space="preserve"> europskih patenata u pojedinom razdoblju, kao i o godini te ukupnom trajanju održavanja patenata od strane njihovih nositelja. Povećanje rashoda u 2025. rezultat su:  1) modificiranog računovodstvenog načela priznavanja rashoda  - od 1.1.2025. rashodi se priznaju u razdoblju na koje se odnose neovisno kad su plaćeni, pa je ovaj rashod za 2025. (uz 4 kvartalne rate kao i u 2024.) uvećan za trošak zadnjeg kvartala 2025. s dospijećem u siječnju 2026. u iznosu od  cca  295.000 €; 2)  povećanja ukupnog godišnjeg  iznosa obveze  prijenosa uplaćenih pristojbi temeljem prethodno navedenih promjenjivih varijabli  (za iznos cca. 180.000€ )  </w:t>
      </w:r>
    </w:p>
    <w:p w14:paraId="3228299E" w14:textId="77777777" w:rsidR="007030E7" w:rsidRDefault="007030E7"/>
    <w:p w14:paraId="49D16665" w14:textId="77777777" w:rsidR="007030E7" w:rsidRDefault="00296248">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6269D415" w14:textId="77777777">
        <w:trPr>
          <w:cantSplit/>
        </w:trPr>
        <w:tc>
          <w:tcPr>
            <w:tcW w:w="700" w:type="dxa"/>
            <w:shd w:val="clear" w:color="auto" w:fill="E7F0F9"/>
            <w:tcMar>
              <w:top w:w="0" w:type="dxa"/>
              <w:bottom w:w="0" w:type="dxa"/>
            </w:tcMar>
            <w:vAlign w:val="center"/>
          </w:tcPr>
          <w:p w14:paraId="0151FBEC"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3A4E4C"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DA90F9"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F8A42D"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BF5F24"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B1A73E" w14:textId="77777777" w:rsidR="007030E7" w:rsidRDefault="00296248">
            <w:pPr>
              <w:keepNext/>
              <w:keepLines/>
              <w:spacing w:after="0" w:line="240" w:lineRule="auto"/>
              <w:jc w:val="center"/>
            </w:pPr>
            <w:r>
              <w:rPr>
                <w:b/>
                <w:sz w:val="18"/>
              </w:rPr>
              <w:t>Indeks (%)</w:t>
            </w:r>
          </w:p>
        </w:tc>
      </w:tr>
      <w:tr w:rsidR="007030E7" w14:paraId="2F640891" w14:textId="77777777">
        <w:trPr>
          <w:cantSplit/>
          <w:trHeight w:val="560"/>
        </w:trPr>
        <w:tc>
          <w:tcPr>
            <w:tcW w:w="700" w:type="dxa"/>
            <w:tcMar>
              <w:top w:w="0" w:type="dxa"/>
              <w:bottom w:w="0" w:type="dxa"/>
            </w:tcMar>
            <w:vAlign w:val="center"/>
          </w:tcPr>
          <w:p w14:paraId="10FA17C7" w14:textId="77777777" w:rsidR="007030E7" w:rsidRDefault="00296248">
            <w:pPr>
              <w:keepNext/>
              <w:keepLines/>
              <w:spacing w:after="0" w:line="240" w:lineRule="auto"/>
            </w:pPr>
            <w:r>
              <w:rPr>
                <w:sz w:val="18"/>
              </w:rPr>
              <w:t>3296</w:t>
            </w:r>
          </w:p>
        </w:tc>
        <w:tc>
          <w:tcPr>
            <w:tcW w:w="3180" w:type="dxa"/>
            <w:tcMar>
              <w:top w:w="0" w:type="dxa"/>
              <w:bottom w:w="0" w:type="dxa"/>
            </w:tcMar>
            <w:vAlign w:val="center"/>
          </w:tcPr>
          <w:p w14:paraId="656EE137" w14:textId="77777777" w:rsidR="007030E7" w:rsidRDefault="00296248">
            <w:pPr>
              <w:keepNext/>
              <w:keepLines/>
              <w:spacing w:after="0" w:line="240" w:lineRule="auto"/>
            </w:pPr>
            <w:r>
              <w:rPr>
                <w:sz w:val="18"/>
              </w:rPr>
              <w:t>Troškovi sudskih postupaka</w:t>
            </w:r>
          </w:p>
        </w:tc>
        <w:tc>
          <w:tcPr>
            <w:tcW w:w="700" w:type="dxa"/>
            <w:tcMar>
              <w:top w:w="0" w:type="dxa"/>
              <w:bottom w:w="0" w:type="dxa"/>
            </w:tcMar>
            <w:vAlign w:val="center"/>
          </w:tcPr>
          <w:p w14:paraId="69C2F676" w14:textId="77777777" w:rsidR="007030E7" w:rsidRDefault="00296248">
            <w:pPr>
              <w:keepNext/>
              <w:keepLines/>
              <w:spacing w:after="0" w:line="240" w:lineRule="auto"/>
            </w:pPr>
            <w:r>
              <w:rPr>
                <w:sz w:val="18"/>
              </w:rPr>
              <w:t>3296</w:t>
            </w:r>
          </w:p>
        </w:tc>
        <w:tc>
          <w:tcPr>
            <w:tcW w:w="1860" w:type="dxa"/>
            <w:tcMar>
              <w:top w:w="0" w:type="dxa"/>
              <w:bottom w:w="0" w:type="dxa"/>
            </w:tcMar>
            <w:vAlign w:val="center"/>
          </w:tcPr>
          <w:p w14:paraId="7775F3E4" w14:textId="77777777" w:rsidR="007030E7" w:rsidRDefault="00296248">
            <w:pPr>
              <w:keepNext/>
              <w:keepLines/>
              <w:spacing w:after="0" w:line="240" w:lineRule="auto"/>
              <w:jc w:val="right"/>
            </w:pPr>
            <w:r>
              <w:rPr>
                <w:sz w:val="18"/>
              </w:rPr>
              <w:t>11.433,16</w:t>
            </w:r>
          </w:p>
        </w:tc>
        <w:tc>
          <w:tcPr>
            <w:tcW w:w="1860" w:type="dxa"/>
            <w:tcMar>
              <w:top w:w="0" w:type="dxa"/>
              <w:bottom w:w="0" w:type="dxa"/>
            </w:tcMar>
            <w:vAlign w:val="center"/>
          </w:tcPr>
          <w:p w14:paraId="031A68AB" w14:textId="77777777" w:rsidR="007030E7" w:rsidRDefault="00296248">
            <w:pPr>
              <w:keepNext/>
              <w:keepLines/>
              <w:spacing w:after="0" w:line="240" w:lineRule="auto"/>
              <w:jc w:val="right"/>
            </w:pPr>
            <w:r>
              <w:rPr>
                <w:sz w:val="18"/>
              </w:rPr>
              <w:t>9.686,11</w:t>
            </w:r>
          </w:p>
        </w:tc>
        <w:tc>
          <w:tcPr>
            <w:tcW w:w="700" w:type="dxa"/>
            <w:tcMar>
              <w:top w:w="0" w:type="dxa"/>
              <w:bottom w:w="0" w:type="dxa"/>
            </w:tcMar>
            <w:vAlign w:val="center"/>
          </w:tcPr>
          <w:p w14:paraId="272E1EE5" w14:textId="77777777" w:rsidR="007030E7" w:rsidRDefault="00296248">
            <w:pPr>
              <w:keepNext/>
              <w:keepLines/>
              <w:spacing w:after="0" w:line="240" w:lineRule="auto"/>
              <w:jc w:val="right"/>
            </w:pPr>
            <w:r>
              <w:rPr>
                <w:sz w:val="18"/>
              </w:rPr>
              <w:t>84,7</w:t>
            </w:r>
          </w:p>
        </w:tc>
      </w:tr>
    </w:tbl>
    <w:p w14:paraId="2BA97732" w14:textId="77777777" w:rsidR="007030E7" w:rsidRDefault="007030E7">
      <w:pPr>
        <w:spacing w:after="0"/>
      </w:pPr>
    </w:p>
    <w:p w14:paraId="1F4E8ECF" w14:textId="77777777" w:rsidR="007030E7" w:rsidRDefault="00296248">
      <w:r>
        <w:t>Rashodi po osnovi sudskih postupaka ovise o varijabilnom godišnjem  broju i dinamici rješavanja sudskih sporova u nadležnosti upravnih sudova te ishoda tih sporova.</w:t>
      </w:r>
    </w:p>
    <w:p w14:paraId="23C96648" w14:textId="77777777" w:rsidR="007030E7" w:rsidRDefault="007030E7"/>
    <w:p w14:paraId="00658BC9" w14:textId="77777777" w:rsidR="007030E7" w:rsidRDefault="00296248">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0A1C8064" w14:textId="77777777">
        <w:trPr>
          <w:cantSplit/>
        </w:trPr>
        <w:tc>
          <w:tcPr>
            <w:tcW w:w="700" w:type="dxa"/>
            <w:shd w:val="clear" w:color="auto" w:fill="E7F0F9"/>
            <w:tcMar>
              <w:top w:w="0" w:type="dxa"/>
              <w:bottom w:w="0" w:type="dxa"/>
            </w:tcMar>
            <w:vAlign w:val="center"/>
          </w:tcPr>
          <w:p w14:paraId="52B05744"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109CDA"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5E348E"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1311DD"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A122CE"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C0F24E" w14:textId="77777777" w:rsidR="007030E7" w:rsidRDefault="00296248">
            <w:pPr>
              <w:keepNext/>
              <w:keepLines/>
              <w:spacing w:after="0" w:line="240" w:lineRule="auto"/>
              <w:jc w:val="center"/>
            </w:pPr>
            <w:r>
              <w:rPr>
                <w:b/>
                <w:sz w:val="18"/>
              </w:rPr>
              <w:t>Indeks (%)</w:t>
            </w:r>
          </w:p>
        </w:tc>
      </w:tr>
      <w:tr w:rsidR="007030E7" w14:paraId="011EE0D1" w14:textId="77777777">
        <w:trPr>
          <w:cantSplit/>
          <w:trHeight w:val="560"/>
        </w:trPr>
        <w:tc>
          <w:tcPr>
            <w:tcW w:w="700" w:type="dxa"/>
            <w:tcMar>
              <w:top w:w="0" w:type="dxa"/>
              <w:bottom w:w="0" w:type="dxa"/>
            </w:tcMar>
            <w:vAlign w:val="center"/>
          </w:tcPr>
          <w:p w14:paraId="02763EF2" w14:textId="77777777" w:rsidR="007030E7" w:rsidRDefault="00296248">
            <w:pPr>
              <w:keepNext/>
              <w:keepLines/>
              <w:spacing w:after="0" w:line="240" w:lineRule="auto"/>
            </w:pPr>
            <w:r>
              <w:rPr>
                <w:sz w:val="18"/>
              </w:rPr>
              <w:t>422</w:t>
            </w:r>
          </w:p>
        </w:tc>
        <w:tc>
          <w:tcPr>
            <w:tcW w:w="3180" w:type="dxa"/>
            <w:tcMar>
              <w:top w:w="0" w:type="dxa"/>
              <w:bottom w:w="0" w:type="dxa"/>
            </w:tcMar>
            <w:vAlign w:val="center"/>
          </w:tcPr>
          <w:p w14:paraId="0D596963" w14:textId="77777777" w:rsidR="007030E7" w:rsidRDefault="00296248">
            <w:pPr>
              <w:keepNext/>
              <w:keepLines/>
              <w:spacing w:after="0" w:line="240" w:lineRule="auto"/>
            </w:pPr>
            <w:r>
              <w:rPr>
                <w:sz w:val="18"/>
              </w:rPr>
              <w:t>Postrojenja i oprema (šifre 4221 do 4228)</w:t>
            </w:r>
          </w:p>
        </w:tc>
        <w:tc>
          <w:tcPr>
            <w:tcW w:w="700" w:type="dxa"/>
            <w:tcMar>
              <w:top w:w="0" w:type="dxa"/>
              <w:bottom w:w="0" w:type="dxa"/>
            </w:tcMar>
            <w:vAlign w:val="center"/>
          </w:tcPr>
          <w:p w14:paraId="3A2CB988" w14:textId="77777777" w:rsidR="007030E7" w:rsidRDefault="00296248">
            <w:pPr>
              <w:keepNext/>
              <w:keepLines/>
              <w:spacing w:after="0" w:line="240" w:lineRule="auto"/>
            </w:pPr>
            <w:r>
              <w:rPr>
                <w:sz w:val="18"/>
              </w:rPr>
              <w:t>422</w:t>
            </w:r>
          </w:p>
        </w:tc>
        <w:tc>
          <w:tcPr>
            <w:tcW w:w="1860" w:type="dxa"/>
            <w:tcMar>
              <w:top w:w="0" w:type="dxa"/>
              <w:bottom w:w="0" w:type="dxa"/>
            </w:tcMar>
            <w:vAlign w:val="center"/>
          </w:tcPr>
          <w:p w14:paraId="60D67A95" w14:textId="77777777" w:rsidR="007030E7" w:rsidRDefault="00296248">
            <w:pPr>
              <w:keepNext/>
              <w:keepLines/>
              <w:spacing w:after="0" w:line="240" w:lineRule="auto"/>
              <w:jc w:val="right"/>
            </w:pPr>
            <w:r>
              <w:rPr>
                <w:sz w:val="18"/>
              </w:rPr>
              <w:t>53.445,19</w:t>
            </w:r>
          </w:p>
        </w:tc>
        <w:tc>
          <w:tcPr>
            <w:tcW w:w="1860" w:type="dxa"/>
            <w:tcMar>
              <w:top w:w="0" w:type="dxa"/>
              <w:bottom w:w="0" w:type="dxa"/>
            </w:tcMar>
            <w:vAlign w:val="center"/>
          </w:tcPr>
          <w:p w14:paraId="1F29A0B7" w14:textId="77777777" w:rsidR="007030E7" w:rsidRDefault="00296248">
            <w:pPr>
              <w:keepNext/>
              <w:keepLines/>
              <w:spacing w:after="0" w:line="240" w:lineRule="auto"/>
              <w:jc w:val="right"/>
            </w:pPr>
            <w:r>
              <w:rPr>
                <w:sz w:val="18"/>
              </w:rPr>
              <w:t>41.754,46</w:t>
            </w:r>
          </w:p>
        </w:tc>
        <w:tc>
          <w:tcPr>
            <w:tcW w:w="700" w:type="dxa"/>
            <w:tcMar>
              <w:top w:w="0" w:type="dxa"/>
              <w:bottom w:w="0" w:type="dxa"/>
            </w:tcMar>
            <w:vAlign w:val="center"/>
          </w:tcPr>
          <w:p w14:paraId="1B074641" w14:textId="77777777" w:rsidR="007030E7" w:rsidRDefault="00296248">
            <w:pPr>
              <w:keepNext/>
              <w:keepLines/>
              <w:spacing w:after="0" w:line="240" w:lineRule="auto"/>
              <w:jc w:val="right"/>
            </w:pPr>
            <w:r>
              <w:rPr>
                <w:sz w:val="18"/>
              </w:rPr>
              <w:t>78,1</w:t>
            </w:r>
          </w:p>
        </w:tc>
      </w:tr>
    </w:tbl>
    <w:p w14:paraId="18A3640E" w14:textId="77777777" w:rsidR="007030E7" w:rsidRDefault="007030E7">
      <w:pPr>
        <w:spacing w:after="0"/>
      </w:pPr>
    </w:p>
    <w:p w14:paraId="4F42346B" w14:textId="77777777" w:rsidR="007030E7" w:rsidRDefault="00296248">
      <w:r>
        <w:t>Smanjenje na stavci je rezultat različitih potreba i opsega nabave Uredske opreme i namještaja (konto 4221;  u 2024. značajnija ulaganja u  nove mrežne skenere sukladne zahtjevima digitalnog arhiviranja i  arhivske regale sukladno protupožarnim propisima; u 2025. obnova zastarjelih  računala i računalne opreme, obnova zastarjelih mobilnih uređaja  (konto 4222),  zamjena većeg broja tehnološki i ekološki  zastarjelih uređaja za klimatizaciju (konto 4223))</w:t>
      </w:r>
    </w:p>
    <w:p w14:paraId="39E1CF37" w14:textId="77777777" w:rsidR="007030E7" w:rsidRDefault="007030E7"/>
    <w:p w14:paraId="26D74726" w14:textId="77777777" w:rsidR="007030E7" w:rsidRDefault="00296248">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26B00567" w14:textId="77777777">
        <w:trPr>
          <w:cantSplit/>
        </w:trPr>
        <w:tc>
          <w:tcPr>
            <w:tcW w:w="700" w:type="dxa"/>
            <w:shd w:val="clear" w:color="auto" w:fill="E7F0F9"/>
            <w:tcMar>
              <w:top w:w="0" w:type="dxa"/>
              <w:bottom w:w="0" w:type="dxa"/>
            </w:tcMar>
            <w:vAlign w:val="center"/>
          </w:tcPr>
          <w:p w14:paraId="2BD1524D"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4F111E"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5067C5"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A9A910"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C7A301"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C52F30" w14:textId="77777777" w:rsidR="007030E7" w:rsidRDefault="00296248">
            <w:pPr>
              <w:keepNext/>
              <w:keepLines/>
              <w:spacing w:after="0" w:line="240" w:lineRule="auto"/>
              <w:jc w:val="center"/>
            </w:pPr>
            <w:r>
              <w:rPr>
                <w:b/>
                <w:sz w:val="18"/>
              </w:rPr>
              <w:t>Indeks (%)</w:t>
            </w:r>
          </w:p>
        </w:tc>
      </w:tr>
      <w:tr w:rsidR="007030E7" w14:paraId="09E64FC3" w14:textId="77777777">
        <w:trPr>
          <w:cantSplit/>
          <w:trHeight w:val="560"/>
        </w:trPr>
        <w:tc>
          <w:tcPr>
            <w:tcW w:w="700" w:type="dxa"/>
            <w:tcMar>
              <w:top w:w="0" w:type="dxa"/>
              <w:bottom w:w="0" w:type="dxa"/>
            </w:tcMar>
            <w:vAlign w:val="center"/>
          </w:tcPr>
          <w:p w14:paraId="49CC0667" w14:textId="77777777" w:rsidR="007030E7" w:rsidRDefault="007030E7">
            <w:pPr>
              <w:keepNext/>
              <w:keepLines/>
              <w:spacing w:after="0" w:line="240" w:lineRule="auto"/>
            </w:pPr>
          </w:p>
        </w:tc>
        <w:tc>
          <w:tcPr>
            <w:tcW w:w="3180" w:type="dxa"/>
            <w:tcMar>
              <w:top w:w="0" w:type="dxa"/>
              <w:bottom w:w="0" w:type="dxa"/>
            </w:tcMar>
            <w:vAlign w:val="center"/>
          </w:tcPr>
          <w:p w14:paraId="331E69EC" w14:textId="77777777" w:rsidR="007030E7" w:rsidRDefault="00296248">
            <w:pPr>
              <w:keepNext/>
              <w:keepLines/>
              <w:spacing w:after="0" w:line="240" w:lineRule="auto"/>
            </w:pPr>
            <w:r>
              <w:rPr>
                <w:sz w:val="18"/>
              </w:rPr>
              <w:t>MANJAK PRIHODA I PRIMITAKA (šifre Y345-X678)</w:t>
            </w:r>
          </w:p>
        </w:tc>
        <w:tc>
          <w:tcPr>
            <w:tcW w:w="700" w:type="dxa"/>
            <w:tcMar>
              <w:top w:w="0" w:type="dxa"/>
              <w:bottom w:w="0" w:type="dxa"/>
            </w:tcMar>
            <w:vAlign w:val="center"/>
          </w:tcPr>
          <w:p w14:paraId="30D247AB" w14:textId="77777777" w:rsidR="007030E7" w:rsidRDefault="00296248">
            <w:pPr>
              <w:keepNext/>
              <w:keepLines/>
              <w:spacing w:after="0" w:line="240" w:lineRule="auto"/>
            </w:pPr>
            <w:r>
              <w:rPr>
                <w:sz w:val="18"/>
              </w:rPr>
              <w:t>Y005</w:t>
            </w:r>
          </w:p>
        </w:tc>
        <w:tc>
          <w:tcPr>
            <w:tcW w:w="1860" w:type="dxa"/>
            <w:tcMar>
              <w:top w:w="0" w:type="dxa"/>
              <w:bottom w:w="0" w:type="dxa"/>
            </w:tcMar>
            <w:vAlign w:val="center"/>
          </w:tcPr>
          <w:p w14:paraId="0E144929" w14:textId="77777777" w:rsidR="007030E7" w:rsidRDefault="00296248">
            <w:pPr>
              <w:keepNext/>
              <w:keepLines/>
              <w:spacing w:after="0" w:line="240" w:lineRule="auto"/>
              <w:jc w:val="right"/>
            </w:pPr>
            <w:r>
              <w:rPr>
                <w:sz w:val="18"/>
              </w:rPr>
              <w:t>128.488,82</w:t>
            </w:r>
          </w:p>
        </w:tc>
        <w:tc>
          <w:tcPr>
            <w:tcW w:w="1860" w:type="dxa"/>
            <w:tcMar>
              <w:top w:w="0" w:type="dxa"/>
              <w:bottom w:w="0" w:type="dxa"/>
            </w:tcMar>
            <w:vAlign w:val="center"/>
          </w:tcPr>
          <w:p w14:paraId="3B475BCC" w14:textId="77777777" w:rsidR="007030E7" w:rsidRDefault="00296248">
            <w:pPr>
              <w:keepNext/>
              <w:keepLines/>
              <w:spacing w:after="0" w:line="240" w:lineRule="auto"/>
              <w:jc w:val="right"/>
            </w:pPr>
            <w:r>
              <w:rPr>
                <w:sz w:val="18"/>
              </w:rPr>
              <w:t>545.108,51</w:t>
            </w:r>
          </w:p>
        </w:tc>
        <w:tc>
          <w:tcPr>
            <w:tcW w:w="700" w:type="dxa"/>
            <w:tcMar>
              <w:top w:w="0" w:type="dxa"/>
              <w:bottom w:w="0" w:type="dxa"/>
            </w:tcMar>
            <w:vAlign w:val="center"/>
          </w:tcPr>
          <w:p w14:paraId="3B9979E6" w14:textId="77777777" w:rsidR="007030E7" w:rsidRDefault="00296248">
            <w:pPr>
              <w:keepNext/>
              <w:keepLines/>
              <w:spacing w:after="0" w:line="240" w:lineRule="auto"/>
              <w:jc w:val="right"/>
            </w:pPr>
            <w:r>
              <w:rPr>
                <w:sz w:val="18"/>
              </w:rPr>
              <w:t>424,2</w:t>
            </w:r>
          </w:p>
        </w:tc>
      </w:tr>
    </w:tbl>
    <w:p w14:paraId="638EB232" w14:textId="77777777" w:rsidR="007030E7" w:rsidRDefault="007030E7">
      <w:pPr>
        <w:spacing w:after="0"/>
      </w:pPr>
    </w:p>
    <w:p w14:paraId="74571781" w14:textId="77777777" w:rsidR="007030E7" w:rsidRDefault="00296248">
      <w:r>
        <w:t xml:space="preserve">U izvještajnom razdoblju ostvaren je i rast prihoda (12,6 %) i rast rashoda (21,4 %), pri čemu je rast rashoda bio veći od rasta prihoda. Rast prihoda je u </w:t>
      </w:r>
      <w:proofErr w:type="spellStart"/>
      <w:r>
        <w:t>navećem</w:t>
      </w:r>
      <w:proofErr w:type="spellEnd"/>
      <w:r>
        <w:t xml:space="preserve"> dijelu  rezultat povećanih prihoda iz proračuna za cjelogodišnje pokrivanje povećanih plaća sukladno reformi plaća državnih službenika od travnja 2024. te dodatnog dvokratnog povećanja osnovice za obračun plaća u 2025. godini, kao i uplate namjenskih prihoda  za naknadu troškova državama članicama za poslove povezane sa sustavom žiga EU-a  (</w:t>
      </w:r>
      <w:proofErr w:type="spellStart"/>
      <w:r>
        <w:t>tzv.offsetting</w:t>
      </w:r>
      <w:proofErr w:type="spellEnd"/>
      <w:r>
        <w:t>)  od strane EUIPO-a prema rezultatima  poslovanja  (objašnjeno u bilješci uz konto 6526). Na rast rashoda najviše je utjecalo navedeno  povećanje rashoda za zaposlene (državne službenike), te prikaz troškova prema modificiranom računovodstvenom načelu nastanka događaja (prema Pravilniku o proračunskom računovodstvu i Računskom planu, u primjeni od 1.1.2025.), objašnjeno u Bilješci uz konta 31 i konta 3295. Tako ostvareni manjak prihoda i primitaka pokriva se prenesenim viškom iz prethodnih razdoblja poslovanja. </w:t>
      </w:r>
    </w:p>
    <w:p w14:paraId="7939BCA0" w14:textId="77777777" w:rsidR="00643CB3" w:rsidRDefault="00296248">
      <w:r>
        <w:t>  </w:t>
      </w:r>
      <w:r>
        <w:br/>
      </w:r>
    </w:p>
    <w:tbl>
      <w:tblPr>
        <w:tblW w:w="9370" w:type="dxa"/>
        <w:tblLook w:val="04A0" w:firstRow="1" w:lastRow="0" w:firstColumn="1" w:lastColumn="0" w:noHBand="0" w:noVBand="1"/>
      </w:tblPr>
      <w:tblGrid>
        <w:gridCol w:w="7290"/>
        <w:gridCol w:w="2080"/>
      </w:tblGrid>
      <w:tr w:rsidR="00643CB3" w:rsidRPr="00643CB3" w14:paraId="604A3F4C" w14:textId="77777777" w:rsidTr="00643CB3">
        <w:trPr>
          <w:trHeight w:val="540"/>
        </w:trPr>
        <w:tc>
          <w:tcPr>
            <w:tcW w:w="729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7063ADD" w14:textId="77777777" w:rsidR="00643CB3" w:rsidRPr="00643CB3" w:rsidRDefault="00643CB3" w:rsidP="00643CB3">
            <w:pPr>
              <w:spacing w:after="0" w:line="240" w:lineRule="auto"/>
              <w:rPr>
                <w:rFonts w:ascii="Arial" w:hAnsi="Arial" w:cs="Arial"/>
                <w:sz w:val="20"/>
              </w:rPr>
            </w:pPr>
            <w:r w:rsidRPr="00643CB3">
              <w:rPr>
                <w:rFonts w:ascii="Arial" w:hAnsi="Arial" w:cs="Arial"/>
                <w:sz w:val="20"/>
              </w:rPr>
              <w:t> </w:t>
            </w:r>
          </w:p>
        </w:tc>
        <w:tc>
          <w:tcPr>
            <w:tcW w:w="2080" w:type="dxa"/>
            <w:tcBorders>
              <w:top w:val="single" w:sz="4" w:space="0" w:color="auto"/>
              <w:left w:val="nil"/>
              <w:bottom w:val="single" w:sz="4" w:space="0" w:color="auto"/>
              <w:right w:val="single" w:sz="4" w:space="0" w:color="auto"/>
            </w:tcBorders>
            <w:shd w:val="clear" w:color="000000" w:fill="E7E6E6"/>
            <w:noWrap/>
            <w:vAlign w:val="center"/>
            <w:hideMark/>
          </w:tcPr>
          <w:p w14:paraId="050D0A21" w14:textId="77777777" w:rsidR="00643CB3" w:rsidRPr="00643CB3" w:rsidRDefault="00643CB3" w:rsidP="00643CB3">
            <w:pPr>
              <w:spacing w:after="0" w:line="240" w:lineRule="auto"/>
              <w:jc w:val="center"/>
              <w:rPr>
                <w:rFonts w:ascii="Arial" w:hAnsi="Arial" w:cs="Arial"/>
                <w:i/>
                <w:iCs/>
                <w:sz w:val="20"/>
              </w:rPr>
            </w:pPr>
            <w:r w:rsidRPr="00643CB3">
              <w:rPr>
                <w:rFonts w:ascii="Arial" w:hAnsi="Arial" w:cs="Arial"/>
                <w:i/>
                <w:iCs/>
                <w:sz w:val="20"/>
              </w:rPr>
              <w:t>2025</w:t>
            </w:r>
          </w:p>
        </w:tc>
      </w:tr>
      <w:tr w:rsidR="00643CB3" w:rsidRPr="00643CB3" w14:paraId="530C72D2"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1B6B2000" w14:textId="77777777" w:rsidR="00643CB3" w:rsidRPr="00643CB3" w:rsidRDefault="00643CB3" w:rsidP="00643CB3">
            <w:pPr>
              <w:spacing w:after="0" w:line="240" w:lineRule="auto"/>
              <w:rPr>
                <w:rFonts w:ascii="Arial" w:hAnsi="Arial" w:cs="Arial"/>
                <w:sz w:val="20"/>
              </w:rPr>
            </w:pPr>
            <w:bookmarkStart w:id="0" w:name="RANGE!D6"/>
            <w:r w:rsidRPr="00643CB3">
              <w:rPr>
                <w:rFonts w:ascii="Arial" w:hAnsi="Arial" w:cs="Arial"/>
                <w:sz w:val="20"/>
              </w:rPr>
              <w:t>Ukupni prihodi poslovanja (šifra 6)</w:t>
            </w:r>
            <w:bookmarkEnd w:id="0"/>
          </w:p>
        </w:tc>
        <w:tc>
          <w:tcPr>
            <w:tcW w:w="2080" w:type="dxa"/>
            <w:tcBorders>
              <w:top w:val="nil"/>
              <w:left w:val="nil"/>
              <w:bottom w:val="single" w:sz="4" w:space="0" w:color="auto"/>
              <w:right w:val="single" w:sz="4" w:space="0" w:color="auto"/>
            </w:tcBorders>
            <w:shd w:val="clear" w:color="auto" w:fill="auto"/>
            <w:noWrap/>
            <w:vAlign w:val="bottom"/>
            <w:hideMark/>
          </w:tcPr>
          <w:p w14:paraId="77B76E39" w14:textId="77777777" w:rsidR="00643CB3" w:rsidRPr="00643CB3" w:rsidRDefault="00643CB3" w:rsidP="00643CB3">
            <w:pPr>
              <w:spacing w:after="0" w:line="240" w:lineRule="auto"/>
              <w:jc w:val="right"/>
              <w:rPr>
                <w:rFonts w:ascii="Arial" w:hAnsi="Arial" w:cs="Arial"/>
                <w:color w:val="000000"/>
                <w:sz w:val="20"/>
              </w:rPr>
            </w:pPr>
            <w:r w:rsidRPr="00643CB3">
              <w:rPr>
                <w:rFonts w:ascii="Arial" w:hAnsi="Arial" w:cs="Arial"/>
                <w:color w:val="000000"/>
                <w:sz w:val="20"/>
              </w:rPr>
              <w:t>4.971.897,06</w:t>
            </w:r>
          </w:p>
        </w:tc>
      </w:tr>
      <w:tr w:rsidR="00643CB3" w:rsidRPr="00643CB3" w14:paraId="68684BEB"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1F9DD4B5" w14:textId="77777777" w:rsidR="00643CB3" w:rsidRPr="00643CB3" w:rsidRDefault="00643CB3" w:rsidP="00643CB3">
            <w:pPr>
              <w:spacing w:after="0" w:line="240" w:lineRule="auto"/>
              <w:rPr>
                <w:rFonts w:ascii="Arial" w:hAnsi="Arial" w:cs="Arial"/>
                <w:sz w:val="20"/>
              </w:rPr>
            </w:pPr>
            <w:r w:rsidRPr="00643CB3">
              <w:rPr>
                <w:rFonts w:ascii="Arial" w:hAnsi="Arial" w:cs="Arial"/>
                <w:sz w:val="20"/>
              </w:rPr>
              <w:t>Ukupni rashodi poslovanja (šifra 3)</w:t>
            </w:r>
          </w:p>
        </w:tc>
        <w:tc>
          <w:tcPr>
            <w:tcW w:w="2080" w:type="dxa"/>
            <w:tcBorders>
              <w:top w:val="nil"/>
              <w:left w:val="nil"/>
              <w:bottom w:val="single" w:sz="4" w:space="0" w:color="auto"/>
              <w:right w:val="single" w:sz="4" w:space="0" w:color="auto"/>
            </w:tcBorders>
            <w:shd w:val="clear" w:color="auto" w:fill="auto"/>
            <w:noWrap/>
            <w:vAlign w:val="bottom"/>
            <w:hideMark/>
          </w:tcPr>
          <w:p w14:paraId="04F5E53F" w14:textId="77777777" w:rsidR="00643CB3" w:rsidRPr="00643CB3" w:rsidRDefault="00643CB3" w:rsidP="00643CB3">
            <w:pPr>
              <w:spacing w:after="0" w:line="240" w:lineRule="auto"/>
              <w:jc w:val="right"/>
              <w:rPr>
                <w:rFonts w:ascii="Arial" w:hAnsi="Arial" w:cs="Arial"/>
                <w:color w:val="000000"/>
                <w:sz w:val="20"/>
              </w:rPr>
            </w:pPr>
            <w:r w:rsidRPr="00643CB3">
              <w:rPr>
                <w:rFonts w:ascii="Arial" w:hAnsi="Arial" w:cs="Arial"/>
                <w:color w:val="000000"/>
                <w:sz w:val="20"/>
              </w:rPr>
              <w:t>5.475.251,11</w:t>
            </w:r>
          </w:p>
        </w:tc>
      </w:tr>
      <w:tr w:rsidR="00643CB3" w:rsidRPr="00643CB3" w14:paraId="7AFF14DD"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043572C2" w14:textId="77777777" w:rsidR="00643CB3" w:rsidRPr="00643CB3" w:rsidRDefault="00643CB3" w:rsidP="00643CB3">
            <w:pPr>
              <w:spacing w:after="0" w:line="240" w:lineRule="auto"/>
              <w:jc w:val="right"/>
              <w:rPr>
                <w:rFonts w:ascii="Arial" w:hAnsi="Arial" w:cs="Arial"/>
                <w:i/>
                <w:iCs/>
                <w:sz w:val="20"/>
              </w:rPr>
            </w:pPr>
            <w:r w:rsidRPr="00643CB3">
              <w:rPr>
                <w:rFonts w:ascii="Arial" w:hAnsi="Arial" w:cs="Arial"/>
                <w:i/>
                <w:iCs/>
                <w:sz w:val="20"/>
              </w:rPr>
              <w:t>višak prihoda poslovanja (šifra X001)</w:t>
            </w:r>
          </w:p>
        </w:tc>
        <w:tc>
          <w:tcPr>
            <w:tcW w:w="2080" w:type="dxa"/>
            <w:tcBorders>
              <w:top w:val="nil"/>
              <w:left w:val="nil"/>
              <w:bottom w:val="single" w:sz="4" w:space="0" w:color="auto"/>
              <w:right w:val="single" w:sz="4" w:space="0" w:color="auto"/>
            </w:tcBorders>
            <w:shd w:val="clear" w:color="auto" w:fill="auto"/>
            <w:noWrap/>
            <w:vAlign w:val="bottom"/>
            <w:hideMark/>
          </w:tcPr>
          <w:p w14:paraId="11801DAC" w14:textId="77777777" w:rsidR="00643CB3" w:rsidRPr="00643CB3" w:rsidRDefault="00643CB3" w:rsidP="00643CB3">
            <w:pPr>
              <w:spacing w:after="0" w:line="240" w:lineRule="auto"/>
              <w:jc w:val="right"/>
              <w:rPr>
                <w:rFonts w:ascii="Arial" w:hAnsi="Arial" w:cs="Arial"/>
                <w:color w:val="000000"/>
                <w:sz w:val="20"/>
              </w:rPr>
            </w:pPr>
            <w:r w:rsidRPr="00643CB3">
              <w:rPr>
                <w:rFonts w:ascii="Arial" w:hAnsi="Arial" w:cs="Arial"/>
                <w:color w:val="000000"/>
                <w:sz w:val="20"/>
              </w:rPr>
              <w:t>0,00</w:t>
            </w:r>
          </w:p>
        </w:tc>
      </w:tr>
      <w:tr w:rsidR="00643CB3" w:rsidRPr="00643CB3" w14:paraId="047C3ABE"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26D06A22" w14:textId="77777777" w:rsidR="00643CB3" w:rsidRPr="00643CB3" w:rsidRDefault="00643CB3" w:rsidP="00643CB3">
            <w:pPr>
              <w:spacing w:after="0" w:line="240" w:lineRule="auto"/>
              <w:jc w:val="right"/>
              <w:rPr>
                <w:rFonts w:ascii="Arial" w:hAnsi="Arial" w:cs="Arial"/>
                <w:i/>
                <w:iCs/>
                <w:sz w:val="20"/>
              </w:rPr>
            </w:pPr>
            <w:r w:rsidRPr="00643CB3">
              <w:rPr>
                <w:rFonts w:ascii="Arial" w:hAnsi="Arial" w:cs="Arial"/>
                <w:i/>
                <w:iCs/>
                <w:sz w:val="20"/>
              </w:rPr>
              <w:t>manjak prihoda poslovanja (šifra Y001)</w:t>
            </w:r>
          </w:p>
        </w:tc>
        <w:tc>
          <w:tcPr>
            <w:tcW w:w="2080" w:type="dxa"/>
            <w:tcBorders>
              <w:top w:val="nil"/>
              <w:left w:val="nil"/>
              <w:bottom w:val="single" w:sz="4" w:space="0" w:color="auto"/>
              <w:right w:val="single" w:sz="4" w:space="0" w:color="auto"/>
            </w:tcBorders>
            <w:shd w:val="clear" w:color="auto" w:fill="auto"/>
            <w:noWrap/>
            <w:vAlign w:val="bottom"/>
            <w:hideMark/>
          </w:tcPr>
          <w:p w14:paraId="248459F8" w14:textId="77777777" w:rsidR="00643CB3" w:rsidRPr="00643CB3" w:rsidRDefault="00643CB3" w:rsidP="00643CB3">
            <w:pPr>
              <w:spacing w:after="0" w:line="240" w:lineRule="auto"/>
              <w:jc w:val="right"/>
              <w:rPr>
                <w:rFonts w:ascii="Arial" w:hAnsi="Arial" w:cs="Arial"/>
                <w:i/>
                <w:iCs/>
                <w:sz w:val="20"/>
              </w:rPr>
            </w:pPr>
            <w:r w:rsidRPr="00643CB3">
              <w:rPr>
                <w:rFonts w:ascii="Arial" w:hAnsi="Arial" w:cs="Arial"/>
                <w:i/>
                <w:iCs/>
                <w:sz w:val="20"/>
              </w:rPr>
              <w:t>-503.354,05</w:t>
            </w:r>
          </w:p>
        </w:tc>
      </w:tr>
      <w:tr w:rsidR="00643CB3" w:rsidRPr="00643CB3" w14:paraId="61F06E8D"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2CE62E9E" w14:textId="77777777" w:rsidR="00643CB3" w:rsidRPr="00643CB3" w:rsidRDefault="00643CB3" w:rsidP="00643CB3">
            <w:pPr>
              <w:spacing w:after="0" w:line="240" w:lineRule="auto"/>
              <w:rPr>
                <w:rFonts w:ascii="Arial" w:hAnsi="Arial" w:cs="Arial"/>
                <w:sz w:val="20"/>
              </w:rPr>
            </w:pPr>
            <w:r w:rsidRPr="00643CB3">
              <w:rPr>
                <w:rFonts w:ascii="Arial" w:hAnsi="Arial" w:cs="Arial"/>
                <w:sz w:val="20"/>
              </w:rPr>
              <w:t>Ukupni prihodi od prodaje nefinancijske imovine (šifra 7)</w:t>
            </w:r>
          </w:p>
        </w:tc>
        <w:tc>
          <w:tcPr>
            <w:tcW w:w="2080" w:type="dxa"/>
            <w:tcBorders>
              <w:top w:val="nil"/>
              <w:left w:val="nil"/>
              <w:bottom w:val="single" w:sz="4" w:space="0" w:color="auto"/>
              <w:right w:val="single" w:sz="4" w:space="0" w:color="auto"/>
            </w:tcBorders>
            <w:shd w:val="clear" w:color="auto" w:fill="auto"/>
            <w:noWrap/>
            <w:vAlign w:val="bottom"/>
            <w:hideMark/>
          </w:tcPr>
          <w:p w14:paraId="15972198" w14:textId="77777777" w:rsidR="00643CB3" w:rsidRPr="00643CB3" w:rsidRDefault="00643CB3" w:rsidP="00643CB3">
            <w:pPr>
              <w:spacing w:after="0" w:line="240" w:lineRule="auto"/>
              <w:jc w:val="right"/>
              <w:rPr>
                <w:rFonts w:ascii="Arial" w:hAnsi="Arial" w:cs="Arial"/>
                <w:color w:val="000000"/>
                <w:sz w:val="20"/>
              </w:rPr>
            </w:pPr>
            <w:r w:rsidRPr="00643CB3">
              <w:rPr>
                <w:rFonts w:ascii="Arial" w:hAnsi="Arial" w:cs="Arial"/>
                <w:color w:val="000000"/>
                <w:sz w:val="20"/>
              </w:rPr>
              <w:t>0,00</w:t>
            </w:r>
          </w:p>
        </w:tc>
      </w:tr>
      <w:tr w:rsidR="00643CB3" w:rsidRPr="00643CB3" w14:paraId="0ABA6958"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5FCE091D" w14:textId="77777777" w:rsidR="00643CB3" w:rsidRPr="00643CB3" w:rsidRDefault="00643CB3" w:rsidP="00643CB3">
            <w:pPr>
              <w:spacing w:after="0" w:line="240" w:lineRule="auto"/>
              <w:rPr>
                <w:rFonts w:ascii="Arial" w:hAnsi="Arial" w:cs="Arial"/>
                <w:sz w:val="20"/>
              </w:rPr>
            </w:pPr>
            <w:r w:rsidRPr="00643CB3">
              <w:rPr>
                <w:rFonts w:ascii="Arial" w:hAnsi="Arial" w:cs="Arial"/>
                <w:sz w:val="20"/>
              </w:rPr>
              <w:t>Ukupni rashodi za nabavu nefinancijske imovine (šifra 4)</w:t>
            </w:r>
          </w:p>
        </w:tc>
        <w:tc>
          <w:tcPr>
            <w:tcW w:w="2080" w:type="dxa"/>
            <w:tcBorders>
              <w:top w:val="nil"/>
              <w:left w:val="nil"/>
              <w:bottom w:val="single" w:sz="4" w:space="0" w:color="auto"/>
              <w:right w:val="single" w:sz="4" w:space="0" w:color="auto"/>
            </w:tcBorders>
            <w:shd w:val="clear" w:color="auto" w:fill="auto"/>
            <w:noWrap/>
            <w:vAlign w:val="bottom"/>
            <w:hideMark/>
          </w:tcPr>
          <w:p w14:paraId="7E407AF8" w14:textId="77777777" w:rsidR="00643CB3" w:rsidRPr="00643CB3" w:rsidRDefault="00643CB3" w:rsidP="00643CB3">
            <w:pPr>
              <w:spacing w:after="0" w:line="240" w:lineRule="auto"/>
              <w:jc w:val="right"/>
              <w:rPr>
                <w:rFonts w:ascii="Arial" w:hAnsi="Arial" w:cs="Arial"/>
                <w:color w:val="000000"/>
                <w:sz w:val="20"/>
              </w:rPr>
            </w:pPr>
            <w:r w:rsidRPr="00643CB3">
              <w:rPr>
                <w:rFonts w:ascii="Arial" w:hAnsi="Arial" w:cs="Arial"/>
                <w:color w:val="000000"/>
                <w:sz w:val="20"/>
              </w:rPr>
              <w:t>41.754,46</w:t>
            </w:r>
          </w:p>
        </w:tc>
      </w:tr>
      <w:tr w:rsidR="00643CB3" w:rsidRPr="00643CB3" w14:paraId="59B29991"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2C680227" w14:textId="77777777" w:rsidR="00643CB3" w:rsidRPr="00643CB3" w:rsidRDefault="00643CB3" w:rsidP="00643CB3">
            <w:pPr>
              <w:spacing w:after="0" w:line="240" w:lineRule="auto"/>
              <w:jc w:val="right"/>
              <w:rPr>
                <w:rFonts w:ascii="Arial" w:hAnsi="Arial" w:cs="Arial"/>
                <w:i/>
                <w:iCs/>
                <w:sz w:val="20"/>
              </w:rPr>
            </w:pPr>
            <w:r w:rsidRPr="00643CB3">
              <w:rPr>
                <w:rFonts w:ascii="Arial" w:hAnsi="Arial" w:cs="Arial"/>
                <w:i/>
                <w:iCs/>
                <w:sz w:val="20"/>
              </w:rPr>
              <w:lastRenderedPageBreak/>
              <w:t>manjak prihoda od nefinancijske imovine (šifra Y002)</w:t>
            </w:r>
          </w:p>
        </w:tc>
        <w:tc>
          <w:tcPr>
            <w:tcW w:w="2080" w:type="dxa"/>
            <w:tcBorders>
              <w:top w:val="nil"/>
              <w:left w:val="nil"/>
              <w:bottom w:val="single" w:sz="4" w:space="0" w:color="auto"/>
              <w:right w:val="single" w:sz="4" w:space="0" w:color="auto"/>
            </w:tcBorders>
            <w:shd w:val="clear" w:color="auto" w:fill="auto"/>
            <w:noWrap/>
            <w:vAlign w:val="bottom"/>
            <w:hideMark/>
          </w:tcPr>
          <w:p w14:paraId="2D2759F3" w14:textId="77777777" w:rsidR="00643CB3" w:rsidRPr="00643CB3" w:rsidRDefault="00643CB3" w:rsidP="00643CB3">
            <w:pPr>
              <w:spacing w:after="0" w:line="240" w:lineRule="auto"/>
              <w:jc w:val="right"/>
              <w:rPr>
                <w:rFonts w:ascii="Arial" w:hAnsi="Arial" w:cs="Arial"/>
                <w:i/>
                <w:iCs/>
                <w:sz w:val="20"/>
              </w:rPr>
            </w:pPr>
            <w:r w:rsidRPr="00643CB3">
              <w:rPr>
                <w:rFonts w:ascii="Arial" w:hAnsi="Arial" w:cs="Arial"/>
                <w:i/>
                <w:iCs/>
                <w:sz w:val="20"/>
              </w:rPr>
              <w:t>-41.754,46</w:t>
            </w:r>
          </w:p>
        </w:tc>
      </w:tr>
      <w:tr w:rsidR="00643CB3" w:rsidRPr="00643CB3" w14:paraId="4DCD8A67"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33BA24CC" w14:textId="77777777" w:rsidR="00643CB3" w:rsidRPr="00643CB3" w:rsidRDefault="00643CB3" w:rsidP="00643CB3">
            <w:pPr>
              <w:spacing w:after="0" w:line="240" w:lineRule="auto"/>
              <w:rPr>
                <w:rFonts w:ascii="Arial" w:hAnsi="Arial" w:cs="Arial"/>
                <w:sz w:val="20"/>
              </w:rPr>
            </w:pPr>
            <w:r w:rsidRPr="00643CB3">
              <w:rPr>
                <w:rFonts w:ascii="Arial" w:hAnsi="Arial" w:cs="Arial"/>
                <w:sz w:val="20"/>
              </w:rPr>
              <w:t>Ukupni primici od financijske imovine i zaduživanja (šifra 8)</w:t>
            </w:r>
          </w:p>
        </w:tc>
        <w:tc>
          <w:tcPr>
            <w:tcW w:w="2080" w:type="dxa"/>
            <w:tcBorders>
              <w:top w:val="nil"/>
              <w:left w:val="nil"/>
              <w:bottom w:val="single" w:sz="4" w:space="0" w:color="auto"/>
              <w:right w:val="single" w:sz="4" w:space="0" w:color="auto"/>
            </w:tcBorders>
            <w:shd w:val="clear" w:color="auto" w:fill="auto"/>
            <w:noWrap/>
            <w:vAlign w:val="bottom"/>
            <w:hideMark/>
          </w:tcPr>
          <w:p w14:paraId="072266C7" w14:textId="77777777" w:rsidR="00643CB3" w:rsidRPr="00643CB3" w:rsidRDefault="00643CB3" w:rsidP="00643CB3">
            <w:pPr>
              <w:spacing w:after="0" w:line="240" w:lineRule="auto"/>
              <w:jc w:val="right"/>
              <w:rPr>
                <w:rFonts w:ascii="Arial" w:hAnsi="Arial" w:cs="Arial"/>
                <w:color w:val="000000"/>
                <w:sz w:val="20"/>
              </w:rPr>
            </w:pPr>
            <w:r w:rsidRPr="00643CB3">
              <w:rPr>
                <w:rFonts w:ascii="Arial" w:hAnsi="Arial" w:cs="Arial"/>
                <w:color w:val="000000"/>
                <w:sz w:val="20"/>
              </w:rPr>
              <w:t>0,00</w:t>
            </w:r>
          </w:p>
        </w:tc>
      </w:tr>
      <w:tr w:rsidR="00643CB3" w:rsidRPr="00643CB3" w14:paraId="61BEDD1A"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61436E67" w14:textId="77777777" w:rsidR="00643CB3" w:rsidRPr="00643CB3" w:rsidRDefault="00643CB3" w:rsidP="00643CB3">
            <w:pPr>
              <w:spacing w:after="0" w:line="240" w:lineRule="auto"/>
              <w:rPr>
                <w:rFonts w:ascii="Arial" w:hAnsi="Arial" w:cs="Arial"/>
                <w:sz w:val="20"/>
              </w:rPr>
            </w:pPr>
            <w:r w:rsidRPr="00643CB3">
              <w:rPr>
                <w:rFonts w:ascii="Arial" w:hAnsi="Arial" w:cs="Arial"/>
                <w:sz w:val="20"/>
              </w:rPr>
              <w:t>Ukupni izdaci za financijsku imovinu i otplate zajmova (šifra 5)</w:t>
            </w:r>
          </w:p>
        </w:tc>
        <w:tc>
          <w:tcPr>
            <w:tcW w:w="2080" w:type="dxa"/>
            <w:tcBorders>
              <w:top w:val="nil"/>
              <w:left w:val="nil"/>
              <w:bottom w:val="single" w:sz="4" w:space="0" w:color="auto"/>
              <w:right w:val="single" w:sz="4" w:space="0" w:color="auto"/>
            </w:tcBorders>
            <w:shd w:val="clear" w:color="auto" w:fill="auto"/>
            <w:noWrap/>
            <w:vAlign w:val="bottom"/>
            <w:hideMark/>
          </w:tcPr>
          <w:p w14:paraId="72EF4F37" w14:textId="77777777" w:rsidR="00643CB3" w:rsidRPr="00643CB3" w:rsidRDefault="00643CB3" w:rsidP="00643CB3">
            <w:pPr>
              <w:spacing w:after="0" w:line="240" w:lineRule="auto"/>
              <w:jc w:val="right"/>
              <w:rPr>
                <w:rFonts w:ascii="Arial" w:hAnsi="Arial" w:cs="Arial"/>
                <w:color w:val="000000"/>
                <w:sz w:val="20"/>
              </w:rPr>
            </w:pPr>
            <w:r w:rsidRPr="00643CB3">
              <w:rPr>
                <w:rFonts w:ascii="Arial" w:hAnsi="Arial" w:cs="Arial"/>
                <w:color w:val="000000"/>
                <w:sz w:val="20"/>
              </w:rPr>
              <w:t>0,00</w:t>
            </w:r>
          </w:p>
        </w:tc>
      </w:tr>
      <w:tr w:rsidR="00643CB3" w:rsidRPr="00643CB3" w14:paraId="63741D37"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72350C7A" w14:textId="77777777" w:rsidR="00643CB3" w:rsidRPr="00643CB3" w:rsidRDefault="00643CB3" w:rsidP="00643CB3">
            <w:pPr>
              <w:spacing w:after="0" w:line="240" w:lineRule="auto"/>
              <w:jc w:val="right"/>
              <w:rPr>
                <w:rFonts w:ascii="Arial" w:hAnsi="Arial" w:cs="Arial"/>
                <w:i/>
                <w:iCs/>
                <w:sz w:val="20"/>
              </w:rPr>
            </w:pPr>
            <w:r w:rsidRPr="00643CB3">
              <w:rPr>
                <w:rFonts w:ascii="Arial" w:hAnsi="Arial" w:cs="Arial"/>
                <w:i/>
                <w:iCs/>
                <w:sz w:val="20"/>
              </w:rPr>
              <w:t>višak/manjak prihoda i primitaka (šifra X003/Y003)</w:t>
            </w:r>
          </w:p>
        </w:tc>
        <w:tc>
          <w:tcPr>
            <w:tcW w:w="2080" w:type="dxa"/>
            <w:tcBorders>
              <w:top w:val="nil"/>
              <w:left w:val="nil"/>
              <w:bottom w:val="single" w:sz="4" w:space="0" w:color="auto"/>
              <w:right w:val="single" w:sz="4" w:space="0" w:color="auto"/>
            </w:tcBorders>
            <w:shd w:val="clear" w:color="auto" w:fill="auto"/>
            <w:noWrap/>
            <w:vAlign w:val="bottom"/>
            <w:hideMark/>
          </w:tcPr>
          <w:p w14:paraId="782CA2F2" w14:textId="77777777" w:rsidR="00643CB3" w:rsidRPr="00643CB3" w:rsidRDefault="00643CB3" w:rsidP="00643CB3">
            <w:pPr>
              <w:spacing w:after="0" w:line="240" w:lineRule="auto"/>
              <w:jc w:val="right"/>
              <w:rPr>
                <w:rFonts w:ascii="Arial" w:hAnsi="Arial" w:cs="Arial"/>
                <w:color w:val="000000"/>
                <w:sz w:val="20"/>
              </w:rPr>
            </w:pPr>
            <w:r w:rsidRPr="00643CB3">
              <w:rPr>
                <w:rFonts w:ascii="Arial" w:hAnsi="Arial" w:cs="Arial"/>
                <w:color w:val="000000"/>
                <w:sz w:val="20"/>
              </w:rPr>
              <w:t>0,00</w:t>
            </w:r>
          </w:p>
        </w:tc>
      </w:tr>
      <w:tr w:rsidR="00643CB3" w:rsidRPr="00643CB3" w14:paraId="0065E9CC"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7891B832" w14:textId="77777777" w:rsidR="00643CB3" w:rsidRPr="00643CB3" w:rsidRDefault="00643CB3" w:rsidP="00643CB3">
            <w:pPr>
              <w:spacing w:after="0" w:line="240" w:lineRule="auto"/>
              <w:rPr>
                <w:rFonts w:ascii="Arial" w:hAnsi="Arial" w:cs="Arial"/>
                <w:b/>
                <w:bCs/>
                <w:sz w:val="20"/>
              </w:rPr>
            </w:pPr>
            <w:r w:rsidRPr="00643CB3">
              <w:rPr>
                <w:rFonts w:ascii="Arial" w:hAnsi="Arial" w:cs="Arial"/>
                <w:b/>
                <w:bCs/>
                <w:sz w:val="20"/>
              </w:rPr>
              <w:t>UKUPNI PRIHODI I PRIMICI (šifra X678)</w:t>
            </w:r>
          </w:p>
        </w:tc>
        <w:tc>
          <w:tcPr>
            <w:tcW w:w="2080" w:type="dxa"/>
            <w:tcBorders>
              <w:top w:val="nil"/>
              <w:left w:val="nil"/>
              <w:bottom w:val="single" w:sz="4" w:space="0" w:color="auto"/>
              <w:right w:val="single" w:sz="4" w:space="0" w:color="auto"/>
            </w:tcBorders>
            <w:shd w:val="clear" w:color="auto" w:fill="auto"/>
            <w:noWrap/>
            <w:vAlign w:val="bottom"/>
            <w:hideMark/>
          </w:tcPr>
          <w:p w14:paraId="0954419D" w14:textId="77777777" w:rsidR="00643CB3" w:rsidRPr="00643CB3" w:rsidRDefault="00643CB3" w:rsidP="00643CB3">
            <w:pPr>
              <w:spacing w:after="0" w:line="240" w:lineRule="auto"/>
              <w:jc w:val="right"/>
              <w:rPr>
                <w:rFonts w:ascii="Arial" w:hAnsi="Arial" w:cs="Arial"/>
                <w:b/>
                <w:bCs/>
                <w:sz w:val="20"/>
              </w:rPr>
            </w:pPr>
            <w:r w:rsidRPr="00643CB3">
              <w:rPr>
                <w:rFonts w:ascii="Arial" w:hAnsi="Arial" w:cs="Arial"/>
                <w:b/>
                <w:bCs/>
                <w:sz w:val="20"/>
              </w:rPr>
              <w:t>4.971.897,06</w:t>
            </w:r>
          </w:p>
        </w:tc>
      </w:tr>
      <w:tr w:rsidR="00643CB3" w:rsidRPr="00643CB3" w14:paraId="523E4905"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60C6EEB4" w14:textId="77777777" w:rsidR="00643CB3" w:rsidRPr="00643CB3" w:rsidRDefault="00643CB3" w:rsidP="00643CB3">
            <w:pPr>
              <w:spacing w:after="0" w:line="240" w:lineRule="auto"/>
              <w:rPr>
                <w:rFonts w:ascii="Arial" w:hAnsi="Arial" w:cs="Arial"/>
                <w:b/>
                <w:bCs/>
                <w:sz w:val="20"/>
              </w:rPr>
            </w:pPr>
            <w:r w:rsidRPr="00643CB3">
              <w:rPr>
                <w:rFonts w:ascii="Arial" w:hAnsi="Arial" w:cs="Arial"/>
                <w:b/>
                <w:bCs/>
                <w:sz w:val="20"/>
              </w:rPr>
              <w:t>UKUPNI RASHODI I IZDACI (šifra Y345)</w:t>
            </w:r>
          </w:p>
        </w:tc>
        <w:tc>
          <w:tcPr>
            <w:tcW w:w="2080" w:type="dxa"/>
            <w:tcBorders>
              <w:top w:val="nil"/>
              <w:left w:val="nil"/>
              <w:bottom w:val="single" w:sz="4" w:space="0" w:color="auto"/>
              <w:right w:val="single" w:sz="4" w:space="0" w:color="auto"/>
            </w:tcBorders>
            <w:shd w:val="clear" w:color="auto" w:fill="auto"/>
            <w:noWrap/>
            <w:vAlign w:val="bottom"/>
            <w:hideMark/>
          </w:tcPr>
          <w:p w14:paraId="4AC0670D" w14:textId="77777777" w:rsidR="00643CB3" w:rsidRPr="00643CB3" w:rsidRDefault="00643CB3" w:rsidP="00643CB3">
            <w:pPr>
              <w:spacing w:after="0" w:line="240" w:lineRule="auto"/>
              <w:jc w:val="right"/>
              <w:rPr>
                <w:rFonts w:ascii="Arial" w:hAnsi="Arial" w:cs="Arial"/>
                <w:b/>
                <w:bCs/>
                <w:sz w:val="20"/>
              </w:rPr>
            </w:pPr>
            <w:r w:rsidRPr="00643CB3">
              <w:rPr>
                <w:rFonts w:ascii="Arial" w:hAnsi="Arial" w:cs="Arial"/>
                <w:b/>
                <w:bCs/>
                <w:sz w:val="20"/>
              </w:rPr>
              <w:t>5.517.005,57</w:t>
            </w:r>
          </w:p>
        </w:tc>
      </w:tr>
      <w:tr w:rsidR="00643CB3" w:rsidRPr="00643CB3" w14:paraId="18F1D0A9"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3A8422DA" w14:textId="77777777" w:rsidR="00643CB3" w:rsidRPr="00643CB3" w:rsidRDefault="00643CB3" w:rsidP="00643CB3">
            <w:pPr>
              <w:spacing w:after="0" w:line="240" w:lineRule="auto"/>
              <w:rPr>
                <w:rFonts w:ascii="Arial" w:hAnsi="Arial" w:cs="Arial"/>
                <w:b/>
                <w:bCs/>
                <w:sz w:val="20"/>
              </w:rPr>
            </w:pPr>
            <w:r w:rsidRPr="00643CB3">
              <w:rPr>
                <w:rFonts w:ascii="Arial" w:hAnsi="Arial" w:cs="Arial"/>
                <w:b/>
                <w:bCs/>
                <w:sz w:val="20"/>
              </w:rPr>
              <w:t>VIŠAK PRIHODA I PRIMITAKA (šifra X005)</w:t>
            </w:r>
          </w:p>
        </w:tc>
        <w:tc>
          <w:tcPr>
            <w:tcW w:w="2080" w:type="dxa"/>
            <w:tcBorders>
              <w:top w:val="nil"/>
              <w:left w:val="nil"/>
              <w:bottom w:val="single" w:sz="4" w:space="0" w:color="auto"/>
              <w:right w:val="single" w:sz="4" w:space="0" w:color="auto"/>
            </w:tcBorders>
            <w:shd w:val="clear" w:color="auto" w:fill="auto"/>
            <w:noWrap/>
            <w:vAlign w:val="bottom"/>
            <w:hideMark/>
          </w:tcPr>
          <w:p w14:paraId="7A39DD75" w14:textId="77777777" w:rsidR="00643CB3" w:rsidRPr="00643CB3" w:rsidRDefault="00643CB3" w:rsidP="00643CB3">
            <w:pPr>
              <w:spacing w:after="0" w:line="240" w:lineRule="auto"/>
              <w:jc w:val="right"/>
              <w:rPr>
                <w:rFonts w:ascii="Arial" w:hAnsi="Arial" w:cs="Arial"/>
                <w:color w:val="000000"/>
                <w:sz w:val="20"/>
              </w:rPr>
            </w:pPr>
            <w:r w:rsidRPr="00643CB3">
              <w:rPr>
                <w:rFonts w:ascii="Arial" w:hAnsi="Arial" w:cs="Arial"/>
                <w:color w:val="000000"/>
                <w:sz w:val="20"/>
              </w:rPr>
              <w:t>0,00</w:t>
            </w:r>
          </w:p>
        </w:tc>
      </w:tr>
      <w:tr w:rsidR="00643CB3" w:rsidRPr="00643CB3" w14:paraId="5304C330"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0FDEA051" w14:textId="77777777" w:rsidR="00643CB3" w:rsidRPr="00643CB3" w:rsidRDefault="00643CB3" w:rsidP="00643CB3">
            <w:pPr>
              <w:spacing w:after="0" w:line="240" w:lineRule="auto"/>
              <w:rPr>
                <w:rFonts w:ascii="Arial" w:hAnsi="Arial" w:cs="Arial"/>
                <w:b/>
                <w:bCs/>
                <w:sz w:val="20"/>
              </w:rPr>
            </w:pPr>
            <w:r w:rsidRPr="00643CB3">
              <w:rPr>
                <w:rFonts w:ascii="Arial" w:hAnsi="Arial" w:cs="Arial"/>
                <w:b/>
                <w:bCs/>
                <w:sz w:val="20"/>
              </w:rPr>
              <w:t>MANJAK PRIHODA I PRIMITAKA (šifra Y005)</w:t>
            </w:r>
          </w:p>
        </w:tc>
        <w:tc>
          <w:tcPr>
            <w:tcW w:w="2080" w:type="dxa"/>
            <w:tcBorders>
              <w:top w:val="nil"/>
              <w:left w:val="nil"/>
              <w:bottom w:val="single" w:sz="4" w:space="0" w:color="auto"/>
              <w:right w:val="single" w:sz="4" w:space="0" w:color="auto"/>
            </w:tcBorders>
            <w:shd w:val="clear" w:color="auto" w:fill="auto"/>
            <w:noWrap/>
            <w:vAlign w:val="bottom"/>
            <w:hideMark/>
          </w:tcPr>
          <w:p w14:paraId="6AB8EA63" w14:textId="77777777" w:rsidR="00643CB3" w:rsidRPr="00643CB3" w:rsidRDefault="00643CB3" w:rsidP="00643CB3">
            <w:pPr>
              <w:spacing w:after="0" w:line="240" w:lineRule="auto"/>
              <w:jc w:val="right"/>
              <w:rPr>
                <w:rFonts w:ascii="Arial" w:hAnsi="Arial" w:cs="Arial"/>
                <w:b/>
                <w:bCs/>
                <w:sz w:val="20"/>
              </w:rPr>
            </w:pPr>
            <w:r w:rsidRPr="00643CB3">
              <w:rPr>
                <w:rFonts w:ascii="Arial" w:hAnsi="Arial" w:cs="Arial"/>
                <w:b/>
                <w:bCs/>
                <w:sz w:val="20"/>
              </w:rPr>
              <w:t>-545.108,51</w:t>
            </w:r>
          </w:p>
        </w:tc>
      </w:tr>
      <w:tr w:rsidR="00643CB3" w:rsidRPr="00643CB3" w14:paraId="522053BD"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78C0DF80" w14:textId="77777777" w:rsidR="00643CB3" w:rsidRPr="00643CB3" w:rsidRDefault="00643CB3" w:rsidP="00643CB3">
            <w:pPr>
              <w:spacing w:after="0" w:line="240" w:lineRule="auto"/>
              <w:rPr>
                <w:rFonts w:ascii="Arial" w:hAnsi="Arial" w:cs="Arial"/>
                <w:sz w:val="20"/>
              </w:rPr>
            </w:pPr>
            <w:r w:rsidRPr="00643CB3">
              <w:rPr>
                <w:rFonts w:ascii="Arial" w:hAnsi="Arial" w:cs="Arial"/>
                <w:sz w:val="20"/>
              </w:rPr>
              <w:t>VIŠAK PRIHODA I PRIMITAKA - PRENESEN IZ PRETH.RAZD. (šifra 9221-9222)</w:t>
            </w:r>
          </w:p>
        </w:tc>
        <w:tc>
          <w:tcPr>
            <w:tcW w:w="2080" w:type="dxa"/>
            <w:tcBorders>
              <w:top w:val="nil"/>
              <w:left w:val="nil"/>
              <w:bottom w:val="single" w:sz="4" w:space="0" w:color="auto"/>
              <w:right w:val="single" w:sz="4" w:space="0" w:color="auto"/>
            </w:tcBorders>
            <w:shd w:val="clear" w:color="auto" w:fill="auto"/>
            <w:noWrap/>
            <w:vAlign w:val="bottom"/>
            <w:hideMark/>
          </w:tcPr>
          <w:p w14:paraId="1A4B3441" w14:textId="77777777" w:rsidR="00643CB3" w:rsidRPr="00643CB3" w:rsidRDefault="00643CB3" w:rsidP="00643CB3">
            <w:pPr>
              <w:spacing w:after="0" w:line="240" w:lineRule="auto"/>
              <w:jc w:val="right"/>
              <w:rPr>
                <w:rFonts w:ascii="Arial" w:hAnsi="Arial" w:cs="Arial"/>
                <w:color w:val="000000"/>
                <w:sz w:val="20"/>
              </w:rPr>
            </w:pPr>
            <w:r w:rsidRPr="00643CB3">
              <w:rPr>
                <w:rFonts w:ascii="Arial" w:hAnsi="Arial" w:cs="Arial"/>
                <w:color w:val="000000"/>
                <w:sz w:val="20"/>
              </w:rPr>
              <w:t>3.465.804,11</w:t>
            </w:r>
          </w:p>
        </w:tc>
      </w:tr>
      <w:tr w:rsidR="00643CB3" w:rsidRPr="00643CB3" w14:paraId="2DE03967" w14:textId="77777777" w:rsidTr="00643CB3">
        <w:trPr>
          <w:trHeight w:val="285"/>
        </w:trPr>
        <w:tc>
          <w:tcPr>
            <w:tcW w:w="7290" w:type="dxa"/>
            <w:tcBorders>
              <w:top w:val="nil"/>
              <w:left w:val="single" w:sz="4" w:space="0" w:color="auto"/>
              <w:bottom w:val="single" w:sz="4" w:space="0" w:color="auto"/>
              <w:right w:val="single" w:sz="4" w:space="0" w:color="auto"/>
            </w:tcBorders>
            <w:shd w:val="clear" w:color="auto" w:fill="auto"/>
            <w:noWrap/>
            <w:vAlign w:val="bottom"/>
            <w:hideMark/>
          </w:tcPr>
          <w:p w14:paraId="3D39675B" w14:textId="77777777" w:rsidR="00643CB3" w:rsidRPr="00643CB3" w:rsidRDefault="00643CB3" w:rsidP="00643CB3">
            <w:pPr>
              <w:spacing w:after="0" w:line="240" w:lineRule="auto"/>
              <w:rPr>
                <w:rFonts w:ascii="Arial" w:hAnsi="Arial" w:cs="Arial"/>
                <w:sz w:val="20"/>
              </w:rPr>
            </w:pPr>
            <w:r w:rsidRPr="00643CB3">
              <w:rPr>
                <w:rFonts w:ascii="Arial" w:hAnsi="Arial" w:cs="Arial"/>
                <w:sz w:val="20"/>
              </w:rPr>
              <w:t>VIŠAK PRIHODA I PRIMITAKA - RASPOLOŽIV U SLJED.RAZD. (šifra X006)</w:t>
            </w:r>
          </w:p>
        </w:tc>
        <w:tc>
          <w:tcPr>
            <w:tcW w:w="2080" w:type="dxa"/>
            <w:tcBorders>
              <w:top w:val="nil"/>
              <w:left w:val="nil"/>
              <w:bottom w:val="single" w:sz="4" w:space="0" w:color="auto"/>
              <w:right w:val="single" w:sz="4" w:space="0" w:color="auto"/>
            </w:tcBorders>
            <w:shd w:val="clear" w:color="auto" w:fill="auto"/>
            <w:noWrap/>
            <w:vAlign w:val="bottom"/>
            <w:hideMark/>
          </w:tcPr>
          <w:p w14:paraId="5E3EE4E6" w14:textId="77777777" w:rsidR="00643CB3" w:rsidRPr="00643CB3" w:rsidRDefault="00643CB3" w:rsidP="00643CB3">
            <w:pPr>
              <w:spacing w:after="0" w:line="240" w:lineRule="auto"/>
              <w:jc w:val="right"/>
              <w:rPr>
                <w:rFonts w:ascii="Arial" w:hAnsi="Arial" w:cs="Arial"/>
                <w:color w:val="000000"/>
                <w:sz w:val="20"/>
              </w:rPr>
            </w:pPr>
            <w:r w:rsidRPr="00643CB3">
              <w:rPr>
                <w:rFonts w:ascii="Arial" w:hAnsi="Arial" w:cs="Arial"/>
                <w:color w:val="000000"/>
                <w:sz w:val="20"/>
              </w:rPr>
              <w:t>2.920.695,60</w:t>
            </w:r>
          </w:p>
        </w:tc>
      </w:tr>
    </w:tbl>
    <w:p w14:paraId="34E56F06" w14:textId="2712043F" w:rsidR="00643CB3" w:rsidRDefault="00643CB3"/>
    <w:p w14:paraId="3A9D14A5" w14:textId="77777777" w:rsidR="00643CB3" w:rsidRDefault="00643CB3">
      <w:pPr>
        <w:keepNext/>
        <w:spacing w:line="240" w:lineRule="auto"/>
        <w:jc w:val="center"/>
        <w:rPr>
          <w:b/>
          <w:sz w:val="28"/>
        </w:rPr>
      </w:pPr>
    </w:p>
    <w:p w14:paraId="5263354E" w14:textId="3519D214" w:rsidR="007030E7" w:rsidRDefault="00296248">
      <w:pPr>
        <w:keepNext/>
        <w:spacing w:line="240" w:lineRule="auto"/>
        <w:jc w:val="center"/>
      </w:pPr>
      <w:r>
        <w:rPr>
          <w:b/>
          <w:sz w:val="28"/>
        </w:rPr>
        <w:t>Bilanca</w:t>
      </w:r>
    </w:p>
    <w:p w14:paraId="4300DE5B" w14:textId="77777777" w:rsidR="007030E7" w:rsidRDefault="00296248">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72E66726" w14:textId="77777777">
        <w:trPr>
          <w:cantSplit/>
        </w:trPr>
        <w:tc>
          <w:tcPr>
            <w:tcW w:w="700" w:type="dxa"/>
            <w:shd w:val="clear" w:color="auto" w:fill="E7F0F9"/>
            <w:tcMar>
              <w:top w:w="0" w:type="dxa"/>
              <w:bottom w:w="0" w:type="dxa"/>
            </w:tcMar>
            <w:vAlign w:val="center"/>
          </w:tcPr>
          <w:p w14:paraId="135F2DEA"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713037"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538F64"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B0A7E5" w14:textId="77777777" w:rsidR="007030E7" w:rsidRDefault="002962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2601B6" w14:textId="77777777" w:rsidR="007030E7" w:rsidRDefault="002962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1C9754" w14:textId="77777777" w:rsidR="007030E7" w:rsidRDefault="00296248">
            <w:pPr>
              <w:keepNext/>
              <w:keepLines/>
              <w:spacing w:after="0" w:line="240" w:lineRule="auto"/>
              <w:jc w:val="center"/>
            </w:pPr>
            <w:r>
              <w:rPr>
                <w:b/>
                <w:sz w:val="18"/>
              </w:rPr>
              <w:t>Indeks (%)</w:t>
            </w:r>
          </w:p>
        </w:tc>
      </w:tr>
      <w:tr w:rsidR="007030E7" w14:paraId="28B34E40" w14:textId="77777777">
        <w:trPr>
          <w:cantSplit/>
          <w:trHeight w:val="560"/>
        </w:trPr>
        <w:tc>
          <w:tcPr>
            <w:tcW w:w="700" w:type="dxa"/>
            <w:tcMar>
              <w:top w:w="0" w:type="dxa"/>
              <w:bottom w:w="0" w:type="dxa"/>
            </w:tcMar>
            <w:vAlign w:val="center"/>
          </w:tcPr>
          <w:p w14:paraId="0C1023C1" w14:textId="77777777" w:rsidR="007030E7" w:rsidRDefault="007030E7">
            <w:pPr>
              <w:keepNext/>
              <w:keepLines/>
              <w:spacing w:after="0" w:line="240" w:lineRule="auto"/>
            </w:pPr>
          </w:p>
        </w:tc>
        <w:tc>
          <w:tcPr>
            <w:tcW w:w="3180" w:type="dxa"/>
            <w:tcMar>
              <w:top w:w="0" w:type="dxa"/>
              <w:bottom w:w="0" w:type="dxa"/>
            </w:tcMar>
            <w:vAlign w:val="center"/>
          </w:tcPr>
          <w:p w14:paraId="62385BD5" w14:textId="77777777" w:rsidR="007030E7" w:rsidRDefault="00296248">
            <w:pPr>
              <w:keepNext/>
              <w:keepLines/>
              <w:spacing w:after="0" w:line="240" w:lineRule="auto"/>
            </w:pPr>
            <w:r>
              <w:rPr>
                <w:sz w:val="18"/>
              </w:rPr>
              <w:t>IMOVINA (šifre B002+1)</w:t>
            </w:r>
          </w:p>
        </w:tc>
        <w:tc>
          <w:tcPr>
            <w:tcW w:w="700" w:type="dxa"/>
            <w:tcMar>
              <w:top w:w="0" w:type="dxa"/>
              <w:bottom w:w="0" w:type="dxa"/>
            </w:tcMar>
            <w:vAlign w:val="center"/>
          </w:tcPr>
          <w:p w14:paraId="2727E77A" w14:textId="77777777" w:rsidR="007030E7" w:rsidRDefault="00296248">
            <w:pPr>
              <w:keepNext/>
              <w:keepLines/>
              <w:spacing w:after="0" w:line="240" w:lineRule="auto"/>
            </w:pPr>
            <w:r>
              <w:rPr>
                <w:sz w:val="18"/>
              </w:rPr>
              <w:t>B001</w:t>
            </w:r>
          </w:p>
        </w:tc>
        <w:tc>
          <w:tcPr>
            <w:tcW w:w="1860" w:type="dxa"/>
            <w:tcMar>
              <w:top w:w="0" w:type="dxa"/>
              <w:bottom w:w="0" w:type="dxa"/>
            </w:tcMar>
            <w:vAlign w:val="center"/>
          </w:tcPr>
          <w:p w14:paraId="40E7F8C7" w14:textId="77777777" w:rsidR="007030E7" w:rsidRDefault="00296248">
            <w:pPr>
              <w:keepNext/>
              <w:keepLines/>
              <w:spacing w:after="0" w:line="240" w:lineRule="auto"/>
              <w:jc w:val="right"/>
            </w:pPr>
            <w:r>
              <w:rPr>
                <w:sz w:val="18"/>
              </w:rPr>
              <w:t>3.872.473,57</w:t>
            </w:r>
          </w:p>
        </w:tc>
        <w:tc>
          <w:tcPr>
            <w:tcW w:w="1860" w:type="dxa"/>
            <w:tcMar>
              <w:top w:w="0" w:type="dxa"/>
              <w:bottom w:w="0" w:type="dxa"/>
            </w:tcMar>
            <w:vAlign w:val="center"/>
          </w:tcPr>
          <w:p w14:paraId="1E3FD2BF" w14:textId="77777777" w:rsidR="007030E7" w:rsidRDefault="00296248">
            <w:pPr>
              <w:keepNext/>
              <w:keepLines/>
              <w:spacing w:after="0" w:line="240" w:lineRule="auto"/>
              <w:jc w:val="right"/>
            </w:pPr>
            <w:r>
              <w:rPr>
                <w:sz w:val="18"/>
              </w:rPr>
              <w:t>3.619.277,72</w:t>
            </w:r>
          </w:p>
        </w:tc>
        <w:tc>
          <w:tcPr>
            <w:tcW w:w="700" w:type="dxa"/>
            <w:tcMar>
              <w:top w:w="0" w:type="dxa"/>
              <w:bottom w:w="0" w:type="dxa"/>
            </w:tcMar>
            <w:vAlign w:val="center"/>
          </w:tcPr>
          <w:p w14:paraId="1184A4CF" w14:textId="77777777" w:rsidR="007030E7" w:rsidRDefault="00296248">
            <w:pPr>
              <w:keepNext/>
              <w:keepLines/>
              <w:spacing w:after="0" w:line="240" w:lineRule="auto"/>
              <w:jc w:val="right"/>
            </w:pPr>
            <w:r>
              <w:rPr>
                <w:sz w:val="18"/>
              </w:rPr>
              <w:t>93,5</w:t>
            </w:r>
          </w:p>
        </w:tc>
      </w:tr>
    </w:tbl>
    <w:p w14:paraId="01CDB7CF" w14:textId="77777777" w:rsidR="007030E7" w:rsidRDefault="007030E7">
      <w:pPr>
        <w:spacing w:after="0"/>
      </w:pPr>
    </w:p>
    <w:p w14:paraId="4C112969" w14:textId="77777777" w:rsidR="007030E7" w:rsidRDefault="00296248">
      <w:r>
        <w:t>U Bilanci na dan 31. prosinca 2025. god. ukupan iznos imovine je 3.619.277,72 €, što predstavlja smanjenje od 6,5 % u odnosu na usporedno razdoblje, a odnosi se na manje smanjenje Nefinancijske imovine (šifra B002) i znatno smanjenje Financijske imovine (šifra 1) -  uzrokovano ukidanjem Kontinuiranih rashoda budućih razdoblja (šifra 193)</w:t>
      </w:r>
    </w:p>
    <w:p w14:paraId="496E773D" w14:textId="77777777" w:rsidR="007030E7" w:rsidRDefault="007030E7"/>
    <w:p w14:paraId="2DE144B0" w14:textId="77777777" w:rsidR="007030E7" w:rsidRDefault="00296248">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5B8E3A69" w14:textId="77777777">
        <w:trPr>
          <w:cantSplit/>
        </w:trPr>
        <w:tc>
          <w:tcPr>
            <w:tcW w:w="700" w:type="dxa"/>
            <w:shd w:val="clear" w:color="auto" w:fill="E7F0F9"/>
            <w:tcMar>
              <w:top w:w="0" w:type="dxa"/>
              <w:bottom w:w="0" w:type="dxa"/>
            </w:tcMar>
            <w:vAlign w:val="center"/>
          </w:tcPr>
          <w:p w14:paraId="3614F27F"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A7D4D1"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9C383C"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261542" w14:textId="77777777" w:rsidR="007030E7" w:rsidRDefault="002962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0A7F69" w14:textId="77777777" w:rsidR="007030E7" w:rsidRDefault="002962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2C6B157" w14:textId="77777777" w:rsidR="007030E7" w:rsidRDefault="00296248">
            <w:pPr>
              <w:keepNext/>
              <w:keepLines/>
              <w:spacing w:after="0" w:line="240" w:lineRule="auto"/>
              <w:jc w:val="center"/>
            </w:pPr>
            <w:r>
              <w:rPr>
                <w:b/>
                <w:sz w:val="18"/>
              </w:rPr>
              <w:t>Indeks (%)</w:t>
            </w:r>
          </w:p>
        </w:tc>
      </w:tr>
      <w:tr w:rsidR="007030E7" w14:paraId="44F6BA24" w14:textId="77777777">
        <w:trPr>
          <w:cantSplit/>
          <w:trHeight w:val="560"/>
        </w:trPr>
        <w:tc>
          <w:tcPr>
            <w:tcW w:w="700" w:type="dxa"/>
            <w:tcMar>
              <w:top w:w="0" w:type="dxa"/>
              <w:bottom w:w="0" w:type="dxa"/>
            </w:tcMar>
            <w:vAlign w:val="center"/>
          </w:tcPr>
          <w:p w14:paraId="7A63A5E2" w14:textId="77777777" w:rsidR="007030E7" w:rsidRDefault="00296248">
            <w:pPr>
              <w:keepNext/>
              <w:keepLines/>
              <w:spacing w:after="0" w:line="240" w:lineRule="auto"/>
            </w:pPr>
            <w:r>
              <w:rPr>
                <w:sz w:val="18"/>
              </w:rPr>
              <w:t>0</w:t>
            </w:r>
          </w:p>
        </w:tc>
        <w:tc>
          <w:tcPr>
            <w:tcW w:w="3180" w:type="dxa"/>
            <w:tcMar>
              <w:top w:w="0" w:type="dxa"/>
              <w:bottom w:w="0" w:type="dxa"/>
            </w:tcMar>
            <w:vAlign w:val="center"/>
          </w:tcPr>
          <w:p w14:paraId="5BDFC3D7" w14:textId="77777777" w:rsidR="007030E7" w:rsidRDefault="00296248">
            <w:pPr>
              <w:keepNext/>
              <w:keepLines/>
              <w:spacing w:after="0" w:line="240" w:lineRule="auto"/>
            </w:pPr>
            <w:r>
              <w:rPr>
                <w:sz w:val="18"/>
              </w:rPr>
              <w:t>Nefinancijska imovina (šifre 01+02+03+04+05+06)</w:t>
            </w:r>
          </w:p>
        </w:tc>
        <w:tc>
          <w:tcPr>
            <w:tcW w:w="700" w:type="dxa"/>
            <w:tcMar>
              <w:top w:w="0" w:type="dxa"/>
              <w:bottom w:w="0" w:type="dxa"/>
            </w:tcMar>
            <w:vAlign w:val="center"/>
          </w:tcPr>
          <w:p w14:paraId="3268E8F2" w14:textId="77777777" w:rsidR="007030E7" w:rsidRDefault="00296248">
            <w:pPr>
              <w:keepNext/>
              <w:keepLines/>
              <w:spacing w:after="0" w:line="240" w:lineRule="auto"/>
            </w:pPr>
            <w:r>
              <w:rPr>
                <w:sz w:val="18"/>
              </w:rPr>
              <w:t>B002</w:t>
            </w:r>
          </w:p>
        </w:tc>
        <w:tc>
          <w:tcPr>
            <w:tcW w:w="1860" w:type="dxa"/>
            <w:tcMar>
              <w:top w:w="0" w:type="dxa"/>
              <w:bottom w:w="0" w:type="dxa"/>
            </w:tcMar>
            <w:vAlign w:val="center"/>
          </w:tcPr>
          <w:p w14:paraId="7DBD5D95" w14:textId="77777777" w:rsidR="007030E7" w:rsidRDefault="00296248">
            <w:pPr>
              <w:keepNext/>
              <w:keepLines/>
              <w:spacing w:after="0" w:line="240" w:lineRule="auto"/>
              <w:jc w:val="right"/>
            </w:pPr>
            <w:r>
              <w:rPr>
                <w:sz w:val="18"/>
              </w:rPr>
              <w:t>123.016,29</w:t>
            </w:r>
          </w:p>
        </w:tc>
        <w:tc>
          <w:tcPr>
            <w:tcW w:w="1860" w:type="dxa"/>
            <w:tcMar>
              <w:top w:w="0" w:type="dxa"/>
              <w:bottom w:w="0" w:type="dxa"/>
            </w:tcMar>
            <w:vAlign w:val="center"/>
          </w:tcPr>
          <w:p w14:paraId="64BC1CE1" w14:textId="77777777" w:rsidR="007030E7" w:rsidRDefault="00296248">
            <w:pPr>
              <w:keepNext/>
              <w:keepLines/>
              <w:spacing w:after="0" w:line="240" w:lineRule="auto"/>
              <w:jc w:val="right"/>
            </w:pPr>
            <w:r>
              <w:rPr>
                <w:sz w:val="18"/>
              </w:rPr>
              <w:t>117.249,18</w:t>
            </w:r>
          </w:p>
        </w:tc>
        <w:tc>
          <w:tcPr>
            <w:tcW w:w="700" w:type="dxa"/>
            <w:tcMar>
              <w:top w:w="0" w:type="dxa"/>
              <w:bottom w:w="0" w:type="dxa"/>
            </w:tcMar>
            <w:vAlign w:val="center"/>
          </w:tcPr>
          <w:p w14:paraId="1FACD867" w14:textId="77777777" w:rsidR="007030E7" w:rsidRDefault="00296248">
            <w:pPr>
              <w:keepNext/>
              <w:keepLines/>
              <w:spacing w:after="0" w:line="240" w:lineRule="auto"/>
              <w:jc w:val="right"/>
            </w:pPr>
            <w:r>
              <w:rPr>
                <w:sz w:val="18"/>
              </w:rPr>
              <w:t>95,3</w:t>
            </w:r>
          </w:p>
        </w:tc>
      </w:tr>
    </w:tbl>
    <w:p w14:paraId="484FBEEF" w14:textId="77777777" w:rsidR="007030E7" w:rsidRDefault="007030E7">
      <w:pPr>
        <w:spacing w:after="0"/>
      </w:pPr>
    </w:p>
    <w:p w14:paraId="365CB815" w14:textId="77777777" w:rsidR="007030E7" w:rsidRDefault="00296248">
      <w:r>
        <w:t>Nefinancijska imovina u iznosu od 117.249,18 € se sastoji od proizvedene dugotrajne imovine (šifra 02) i na kraju izvještajnog razdoblja iskazuje smanjenje u odnosu na stanje početka godine. Smanjenje je rezultat razlike novonabavljene proizvedene dugotrajne imovine (u iznosu 41.754,46 € za nabavu osobnih  računala, monitora, mobilnih i klimatizacijskih uređaja) i ispravka nabavne vrijednosti proizvedene dugotrajne imovine (koji za 2025. godinu iznosi 47.521,57 €).  </w:t>
      </w:r>
    </w:p>
    <w:p w14:paraId="1E0ECEA1" w14:textId="77777777" w:rsidR="007030E7" w:rsidRDefault="00296248">
      <w:r>
        <w:t> </w:t>
      </w:r>
    </w:p>
    <w:p w14:paraId="3919B787" w14:textId="77777777" w:rsidR="007030E7" w:rsidRDefault="007030E7"/>
    <w:p w14:paraId="2AA282FF" w14:textId="77777777" w:rsidR="007030E7" w:rsidRDefault="00296248">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7AC0B470" w14:textId="77777777">
        <w:trPr>
          <w:cantSplit/>
        </w:trPr>
        <w:tc>
          <w:tcPr>
            <w:tcW w:w="700" w:type="dxa"/>
            <w:shd w:val="clear" w:color="auto" w:fill="E7F0F9"/>
            <w:tcMar>
              <w:top w:w="0" w:type="dxa"/>
              <w:bottom w:w="0" w:type="dxa"/>
            </w:tcMar>
            <w:vAlign w:val="center"/>
          </w:tcPr>
          <w:p w14:paraId="37883905"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003A21"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C2B824"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1F00BE" w14:textId="77777777" w:rsidR="007030E7" w:rsidRDefault="002962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6C3B1C" w14:textId="77777777" w:rsidR="007030E7" w:rsidRDefault="002962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2482F5" w14:textId="77777777" w:rsidR="007030E7" w:rsidRDefault="00296248">
            <w:pPr>
              <w:keepNext/>
              <w:keepLines/>
              <w:spacing w:after="0" w:line="240" w:lineRule="auto"/>
              <w:jc w:val="center"/>
            </w:pPr>
            <w:r>
              <w:rPr>
                <w:b/>
                <w:sz w:val="18"/>
              </w:rPr>
              <w:t>Indeks (%)</w:t>
            </w:r>
          </w:p>
        </w:tc>
      </w:tr>
      <w:tr w:rsidR="007030E7" w14:paraId="0B70C407" w14:textId="77777777">
        <w:trPr>
          <w:cantSplit/>
          <w:trHeight w:val="560"/>
        </w:trPr>
        <w:tc>
          <w:tcPr>
            <w:tcW w:w="700" w:type="dxa"/>
            <w:tcMar>
              <w:top w:w="0" w:type="dxa"/>
              <w:bottom w:w="0" w:type="dxa"/>
            </w:tcMar>
            <w:vAlign w:val="center"/>
          </w:tcPr>
          <w:p w14:paraId="4DD718CF" w14:textId="77777777" w:rsidR="007030E7" w:rsidRDefault="00296248">
            <w:pPr>
              <w:keepNext/>
              <w:keepLines/>
              <w:spacing w:after="0" w:line="240" w:lineRule="auto"/>
            </w:pPr>
            <w:r>
              <w:rPr>
                <w:sz w:val="18"/>
              </w:rPr>
              <w:t>1</w:t>
            </w:r>
          </w:p>
        </w:tc>
        <w:tc>
          <w:tcPr>
            <w:tcW w:w="3180" w:type="dxa"/>
            <w:tcMar>
              <w:top w:w="0" w:type="dxa"/>
              <w:bottom w:w="0" w:type="dxa"/>
            </w:tcMar>
            <w:vAlign w:val="center"/>
          </w:tcPr>
          <w:p w14:paraId="4FDF9B3C" w14:textId="77777777" w:rsidR="007030E7" w:rsidRDefault="00296248">
            <w:pPr>
              <w:keepNext/>
              <w:keepLines/>
              <w:spacing w:after="0" w:line="240" w:lineRule="auto"/>
            </w:pPr>
            <w:r>
              <w:rPr>
                <w:sz w:val="18"/>
              </w:rPr>
              <w:t>Financijska imovina (šifre 11+12+13+14+15+16+17+19)</w:t>
            </w:r>
          </w:p>
        </w:tc>
        <w:tc>
          <w:tcPr>
            <w:tcW w:w="700" w:type="dxa"/>
            <w:tcMar>
              <w:top w:w="0" w:type="dxa"/>
              <w:bottom w:w="0" w:type="dxa"/>
            </w:tcMar>
            <w:vAlign w:val="center"/>
          </w:tcPr>
          <w:p w14:paraId="50532510" w14:textId="77777777" w:rsidR="007030E7" w:rsidRDefault="00296248">
            <w:pPr>
              <w:keepNext/>
              <w:keepLines/>
              <w:spacing w:after="0" w:line="240" w:lineRule="auto"/>
            </w:pPr>
            <w:r>
              <w:rPr>
                <w:sz w:val="18"/>
              </w:rPr>
              <w:t>1</w:t>
            </w:r>
          </w:p>
        </w:tc>
        <w:tc>
          <w:tcPr>
            <w:tcW w:w="1860" w:type="dxa"/>
            <w:tcMar>
              <w:top w:w="0" w:type="dxa"/>
              <w:bottom w:w="0" w:type="dxa"/>
            </w:tcMar>
            <w:vAlign w:val="center"/>
          </w:tcPr>
          <w:p w14:paraId="20C1AF9B" w14:textId="77777777" w:rsidR="007030E7" w:rsidRDefault="00296248">
            <w:pPr>
              <w:keepNext/>
              <w:keepLines/>
              <w:spacing w:after="0" w:line="240" w:lineRule="auto"/>
              <w:jc w:val="right"/>
            </w:pPr>
            <w:r>
              <w:rPr>
                <w:sz w:val="18"/>
              </w:rPr>
              <w:t>3.749.457,28</w:t>
            </w:r>
          </w:p>
        </w:tc>
        <w:tc>
          <w:tcPr>
            <w:tcW w:w="1860" w:type="dxa"/>
            <w:tcMar>
              <w:top w:w="0" w:type="dxa"/>
              <w:bottom w:w="0" w:type="dxa"/>
            </w:tcMar>
            <w:vAlign w:val="center"/>
          </w:tcPr>
          <w:p w14:paraId="417A8A27" w14:textId="77777777" w:rsidR="007030E7" w:rsidRDefault="00296248">
            <w:pPr>
              <w:keepNext/>
              <w:keepLines/>
              <w:spacing w:after="0" w:line="240" w:lineRule="auto"/>
              <w:jc w:val="right"/>
            </w:pPr>
            <w:r>
              <w:rPr>
                <w:sz w:val="18"/>
              </w:rPr>
              <w:t>3.502.028,54</w:t>
            </w:r>
          </w:p>
        </w:tc>
        <w:tc>
          <w:tcPr>
            <w:tcW w:w="700" w:type="dxa"/>
            <w:tcMar>
              <w:top w:w="0" w:type="dxa"/>
              <w:bottom w:w="0" w:type="dxa"/>
            </w:tcMar>
            <w:vAlign w:val="center"/>
          </w:tcPr>
          <w:p w14:paraId="1512C087" w14:textId="77777777" w:rsidR="007030E7" w:rsidRDefault="00296248">
            <w:pPr>
              <w:keepNext/>
              <w:keepLines/>
              <w:spacing w:after="0" w:line="240" w:lineRule="auto"/>
              <w:jc w:val="right"/>
            </w:pPr>
            <w:r>
              <w:rPr>
                <w:sz w:val="18"/>
              </w:rPr>
              <w:t>93,4</w:t>
            </w:r>
          </w:p>
        </w:tc>
      </w:tr>
    </w:tbl>
    <w:p w14:paraId="001CF0E0" w14:textId="77777777" w:rsidR="007030E7" w:rsidRDefault="007030E7">
      <w:pPr>
        <w:spacing w:after="0"/>
      </w:pPr>
    </w:p>
    <w:p w14:paraId="71517AEB" w14:textId="77777777" w:rsidR="007030E7" w:rsidRDefault="00296248">
      <w:r>
        <w:t xml:space="preserve">Financijska imovina sastoji se od stavki Novac u banci i blagajni (šifra 11), Depoziti, </w:t>
      </w:r>
      <w:proofErr w:type="spellStart"/>
      <w:r>
        <w:t>jamčevni</w:t>
      </w:r>
      <w:proofErr w:type="spellEnd"/>
      <w:r>
        <w:t xml:space="preserve"> </w:t>
      </w:r>
      <w:proofErr w:type="spellStart"/>
      <w:r>
        <w:t>polozi</w:t>
      </w:r>
      <w:proofErr w:type="spellEnd"/>
      <w:r>
        <w:t xml:space="preserve"> i potraživanja od zaposlenih te za više plaćene poreze i ostalo (šifra 12), Potraživanja za prihode poslovanja (šifra 16) te Rashodi budućih razdoblja i nedospjele naplate prihoda (šifra 19). </w:t>
      </w:r>
      <w:r>
        <w:br/>
        <w:t xml:space="preserve">Na smanjenje financijske imovine u najvećoj mjeri je utjecala izmjena evidentiranja kontinuiranih rashoda poslovanja. Naime, dok je u usporednom razdoblju pod stavkom Kontinuirani rashodi budućih razdoblja (šifra 193) prikazan iznos obračuna plaće za prosinac 2024. (a koja je isplaćena u siječnju 2025.), u izvještajnom razdoblju se (primjenom odredbi Pravilnika o proračunskom </w:t>
      </w:r>
      <w:proofErr w:type="spellStart"/>
      <w:r>
        <w:t>računovodstviu</w:t>
      </w:r>
      <w:proofErr w:type="spellEnd"/>
      <w:r>
        <w:t xml:space="preserve"> i Računskom planu NN 158/2023, 154/2024) ukida ova kategorija na način  da se rashodi razdoblja odmah evidentiraju prema vrsti troška i razdoblju na koje se odnose.</w:t>
      </w:r>
    </w:p>
    <w:p w14:paraId="5DE57664" w14:textId="77777777" w:rsidR="007030E7" w:rsidRDefault="007030E7"/>
    <w:p w14:paraId="46FBCDA5" w14:textId="77777777" w:rsidR="007030E7" w:rsidRDefault="00296248">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0280E3DE" w14:textId="77777777">
        <w:trPr>
          <w:cantSplit/>
        </w:trPr>
        <w:tc>
          <w:tcPr>
            <w:tcW w:w="700" w:type="dxa"/>
            <w:shd w:val="clear" w:color="auto" w:fill="E7F0F9"/>
            <w:tcMar>
              <w:top w:w="0" w:type="dxa"/>
              <w:bottom w:w="0" w:type="dxa"/>
            </w:tcMar>
            <w:vAlign w:val="center"/>
          </w:tcPr>
          <w:p w14:paraId="450CFB52"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126477"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A4DD61"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CDBC43" w14:textId="77777777" w:rsidR="007030E7" w:rsidRDefault="002962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BC3100" w14:textId="77777777" w:rsidR="007030E7" w:rsidRDefault="002962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B0C4F5" w14:textId="77777777" w:rsidR="007030E7" w:rsidRDefault="00296248">
            <w:pPr>
              <w:keepNext/>
              <w:keepLines/>
              <w:spacing w:after="0" w:line="240" w:lineRule="auto"/>
              <w:jc w:val="center"/>
            </w:pPr>
            <w:r>
              <w:rPr>
                <w:b/>
                <w:sz w:val="18"/>
              </w:rPr>
              <w:t>Indeks (%)</w:t>
            </w:r>
          </w:p>
        </w:tc>
      </w:tr>
      <w:tr w:rsidR="007030E7" w14:paraId="208FB331" w14:textId="77777777">
        <w:trPr>
          <w:cantSplit/>
          <w:trHeight w:val="560"/>
        </w:trPr>
        <w:tc>
          <w:tcPr>
            <w:tcW w:w="700" w:type="dxa"/>
            <w:tcMar>
              <w:top w:w="0" w:type="dxa"/>
              <w:bottom w:w="0" w:type="dxa"/>
            </w:tcMar>
            <w:vAlign w:val="center"/>
          </w:tcPr>
          <w:p w14:paraId="25B26EAD" w14:textId="77777777" w:rsidR="007030E7" w:rsidRDefault="007030E7">
            <w:pPr>
              <w:keepNext/>
              <w:keepLines/>
              <w:spacing w:after="0" w:line="240" w:lineRule="auto"/>
            </w:pPr>
          </w:p>
        </w:tc>
        <w:tc>
          <w:tcPr>
            <w:tcW w:w="3180" w:type="dxa"/>
            <w:tcMar>
              <w:top w:w="0" w:type="dxa"/>
              <w:bottom w:w="0" w:type="dxa"/>
            </w:tcMar>
            <w:vAlign w:val="center"/>
          </w:tcPr>
          <w:p w14:paraId="494CB113" w14:textId="77777777" w:rsidR="007030E7" w:rsidRDefault="00296248">
            <w:pPr>
              <w:keepNext/>
              <w:keepLines/>
              <w:spacing w:after="0" w:line="240" w:lineRule="auto"/>
            </w:pPr>
            <w:r>
              <w:rPr>
                <w:sz w:val="18"/>
              </w:rPr>
              <w:t>OBVEZE I VLASTITI IZVORI (šifre 2+9)</w:t>
            </w:r>
          </w:p>
        </w:tc>
        <w:tc>
          <w:tcPr>
            <w:tcW w:w="700" w:type="dxa"/>
            <w:tcMar>
              <w:top w:w="0" w:type="dxa"/>
              <w:bottom w:w="0" w:type="dxa"/>
            </w:tcMar>
            <w:vAlign w:val="center"/>
          </w:tcPr>
          <w:p w14:paraId="1E3208A9" w14:textId="77777777" w:rsidR="007030E7" w:rsidRDefault="00296248">
            <w:pPr>
              <w:keepNext/>
              <w:keepLines/>
              <w:spacing w:after="0" w:line="240" w:lineRule="auto"/>
            </w:pPr>
            <w:r>
              <w:rPr>
                <w:sz w:val="18"/>
              </w:rPr>
              <w:t>B003</w:t>
            </w:r>
          </w:p>
        </w:tc>
        <w:tc>
          <w:tcPr>
            <w:tcW w:w="1860" w:type="dxa"/>
            <w:tcMar>
              <w:top w:w="0" w:type="dxa"/>
              <w:bottom w:w="0" w:type="dxa"/>
            </w:tcMar>
            <w:vAlign w:val="center"/>
          </w:tcPr>
          <w:p w14:paraId="0082FE4F" w14:textId="77777777" w:rsidR="007030E7" w:rsidRDefault="00296248">
            <w:pPr>
              <w:keepNext/>
              <w:keepLines/>
              <w:spacing w:after="0" w:line="240" w:lineRule="auto"/>
              <w:jc w:val="right"/>
            </w:pPr>
            <w:r>
              <w:rPr>
                <w:sz w:val="18"/>
              </w:rPr>
              <w:t>3.872.473,57</w:t>
            </w:r>
          </w:p>
        </w:tc>
        <w:tc>
          <w:tcPr>
            <w:tcW w:w="1860" w:type="dxa"/>
            <w:tcMar>
              <w:top w:w="0" w:type="dxa"/>
              <w:bottom w:w="0" w:type="dxa"/>
            </w:tcMar>
            <w:vAlign w:val="center"/>
          </w:tcPr>
          <w:p w14:paraId="3C62D80B" w14:textId="77777777" w:rsidR="007030E7" w:rsidRDefault="00296248">
            <w:pPr>
              <w:keepNext/>
              <w:keepLines/>
              <w:spacing w:after="0" w:line="240" w:lineRule="auto"/>
              <w:jc w:val="right"/>
            </w:pPr>
            <w:r>
              <w:rPr>
                <w:sz w:val="18"/>
              </w:rPr>
              <w:t>3.619.277,72</w:t>
            </w:r>
          </w:p>
        </w:tc>
        <w:tc>
          <w:tcPr>
            <w:tcW w:w="700" w:type="dxa"/>
            <w:tcMar>
              <w:top w:w="0" w:type="dxa"/>
              <w:bottom w:w="0" w:type="dxa"/>
            </w:tcMar>
            <w:vAlign w:val="center"/>
          </w:tcPr>
          <w:p w14:paraId="3706F271" w14:textId="77777777" w:rsidR="007030E7" w:rsidRDefault="00296248">
            <w:pPr>
              <w:keepNext/>
              <w:keepLines/>
              <w:spacing w:after="0" w:line="240" w:lineRule="auto"/>
              <w:jc w:val="right"/>
            </w:pPr>
            <w:r>
              <w:rPr>
                <w:sz w:val="18"/>
              </w:rPr>
              <w:t>93,5</w:t>
            </w:r>
          </w:p>
        </w:tc>
      </w:tr>
    </w:tbl>
    <w:p w14:paraId="43DA25FC" w14:textId="77777777" w:rsidR="007030E7" w:rsidRDefault="007030E7">
      <w:pPr>
        <w:spacing w:after="0"/>
      </w:pPr>
    </w:p>
    <w:p w14:paraId="22EFFD74" w14:textId="77777777" w:rsidR="007030E7" w:rsidRDefault="00296248">
      <w:r>
        <w:t>Smanjenje stavke Obveze i vlastiti izvori rezultat je promjena stavaka Obveze (šifra 2; povećanje) i Vlastiti izvori (šifra 9; smanjenje).</w:t>
      </w:r>
      <w:r>
        <w:br/>
        <w:t>Dok je povećanje obveza prvenstveno uzrokovano primjenom modificiranog računovodstvenog načela nastanka događaja, isto se posredno odrazilo na ostvarenje Manjka prihoda i primitaka (šifra Y005 u PR-RAS) i prelilo na Vlastite izvore (šifra 9).</w:t>
      </w:r>
    </w:p>
    <w:p w14:paraId="6BDB1ADD" w14:textId="77777777" w:rsidR="007030E7" w:rsidRDefault="007030E7"/>
    <w:p w14:paraId="4FA27450" w14:textId="77777777" w:rsidR="007030E7" w:rsidRDefault="00296248">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0C6B5FBB" w14:textId="77777777">
        <w:trPr>
          <w:cantSplit/>
        </w:trPr>
        <w:tc>
          <w:tcPr>
            <w:tcW w:w="700" w:type="dxa"/>
            <w:shd w:val="clear" w:color="auto" w:fill="E7F0F9"/>
            <w:tcMar>
              <w:top w:w="0" w:type="dxa"/>
              <w:bottom w:w="0" w:type="dxa"/>
            </w:tcMar>
            <w:vAlign w:val="center"/>
          </w:tcPr>
          <w:p w14:paraId="26550DC9"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FEA100"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7353B1"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5E8D35" w14:textId="77777777" w:rsidR="007030E7" w:rsidRDefault="002962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5C1747" w14:textId="77777777" w:rsidR="007030E7" w:rsidRDefault="002962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F5BD49" w14:textId="77777777" w:rsidR="007030E7" w:rsidRDefault="00296248">
            <w:pPr>
              <w:keepNext/>
              <w:keepLines/>
              <w:spacing w:after="0" w:line="240" w:lineRule="auto"/>
              <w:jc w:val="center"/>
            </w:pPr>
            <w:r>
              <w:rPr>
                <w:b/>
                <w:sz w:val="18"/>
              </w:rPr>
              <w:t>Indeks (%)</w:t>
            </w:r>
          </w:p>
        </w:tc>
      </w:tr>
      <w:tr w:rsidR="007030E7" w14:paraId="25ED6E53" w14:textId="77777777">
        <w:trPr>
          <w:cantSplit/>
          <w:trHeight w:val="560"/>
        </w:trPr>
        <w:tc>
          <w:tcPr>
            <w:tcW w:w="700" w:type="dxa"/>
            <w:tcMar>
              <w:top w:w="0" w:type="dxa"/>
              <w:bottom w:w="0" w:type="dxa"/>
            </w:tcMar>
            <w:vAlign w:val="center"/>
          </w:tcPr>
          <w:p w14:paraId="0E4443FB" w14:textId="77777777" w:rsidR="007030E7" w:rsidRDefault="00296248">
            <w:pPr>
              <w:keepNext/>
              <w:keepLines/>
              <w:spacing w:after="0" w:line="240" w:lineRule="auto"/>
            </w:pPr>
            <w:r>
              <w:rPr>
                <w:sz w:val="18"/>
              </w:rPr>
              <w:t>2</w:t>
            </w:r>
          </w:p>
        </w:tc>
        <w:tc>
          <w:tcPr>
            <w:tcW w:w="3180" w:type="dxa"/>
            <w:tcMar>
              <w:top w:w="0" w:type="dxa"/>
              <w:bottom w:w="0" w:type="dxa"/>
            </w:tcMar>
            <w:vAlign w:val="center"/>
          </w:tcPr>
          <w:p w14:paraId="6BF0ACC1" w14:textId="77777777" w:rsidR="007030E7" w:rsidRDefault="00296248">
            <w:pPr>
              <w:keepNext/>
              <w:keepLines/>
              <w:spacing w:after="0" w:line="240" w:lineRule="auto"/>
            </w:pPr>
            <w:r>
              <w:rPr>
                <w:sz w:val="18"/>
              </w:rPr>
              <w:t>Obveze (šifre 23+24+25+26+27+29)</w:t>
            </w:r>
          </w:p>
        </w:tc>
        <w:tc>
          <w:tcPr>
            <w:tcW w:w="700" w:type="dxa"/>
            <w:tcMar>
              <w:top w:w="0" w:type="dxa"/>
              <w:bottom w:w="0" w:type="dxa"/>
            </w:tcMar>
            <w:vAlign w:val="center"/>
          </w:tcPr>
          <w:p w14:paraId="0B204747" w14:textId="77777777" w:rsidR="007030E7" w:rsidRDefault="00296248">
            <w:pPr>
              <w:keepNext/>
              <w:keepLines/>
              <w:spacing w:after="0" w:line="240" w:lineRule="auto"/>
            </w:pPr>
            <w:r>
              <w:rPr>
                <w:sz w:val="18"/>
              </w:rPr>
              <w:t>2</w:t>
            </w:r>
          </w:p>
        </w:tc>
        <w:tc>
          <w:tcPr>
            <w:tcW w:w="1860" w:type="dxa"/>
            <w:tcMar>
              <w:top w:w="0" w:type="dxa"/>
              <w:bottom w:w="0" w:type="dxa"/>
            </w:tcMar>
            <w:vAlign w:val="center"/>
          </w:tcPr>
          <w:p w14:paraId="705B1647" w14:textId="77777777" w:rsidR="007030E7" w:rsidRDefault="00296248">
            <w:pPr>
              <w:keepNext/>
              <w:keepLines/>
              <w:spacing w:after="0" w:line="240" w:lineRule="auto"/>
              <w:jc w:val="right"/>
            </w:pPr>
            <w:r>
              <w:rPr>
                <w:sz w:val="18"/>
              </w:rPr>
              <w:t>283.653,17</w:t>
            </w:r>
          </w:p>
        </w:tc>
        <w:tc>
          <w:tcPr>
            <w:tcW w:w="1860" w:type="dxa"/>
            <w:tcMar>
              <w:top w:w="0" w:type="dxa"/>
              <w:bottom w:w="0" w:type="dxa"/>
            </w:tcMar>
            <w:vAlign w:val="center"/>
          </w:tcPr>
          <w:p w14:paraId="7172976D" w14:textId="77777777" w:rsidR="007030E7" w:rsidRDefault="00296248">
            <w:pPr>
              <w:keepNext/>
              <w:keepLines/>
              <w:spacing w:after="0" w:line="240" w:lineRule="auto"/>
              <w:jc w:val="right"/>
            </w:pPr>
            <w:r>
              <w:rPr>
                <w:sz w:val="18"/>
              </w:rPr>
              <w:t>581.332,94</w:t>
            </w:r>
          </w:p>
        </w:tc>
        <w:tc>
          <w:tcPr>
            <w:tcW w:w="700" w:type="dxa"/>
            <w:tcMar>
              <w:top w:w="0" w:type="dxa"/>
              <w:bottom w:w="0" w:type="dxa"/>
            </w:tcMar>
            <w:vAlign w:val="center"/>
          </w:tcPr>
          <w:p w14:paraId="542837B1" w14:textId="77777777" w:rsidR="007030E7" w:rsidRDefault="00296248">
            <w:pPr>
              <w:keepNext/>
              <w:keepLines/>
              <w:spacing w:after="0" w:line="240" w:lineRule="auto"/>
              <w:jc w:val="right"/>
            </w:pPr>
            <w:r>
              <w:rPr>
                <w:sz w:val="18"/>
              </w:rPr>
              <w:t>204,9</w:t>
            </w:r>
          </w:p>
        </w:tc>
      </w:tr>
    </w:tbl>
    <w:p w14:paraId="20AE24A5" w14:textId="77777777" w:rsidR="007030E7" w:rsidRDefault="007030E7">
      <w:pPr>
        <w:spacing w:after="0"/>
      </w:pPr>
    </w:p>
    <w:p w14:paraId="53C09426" w14:textId="77777777" w:rsidR="007030E7" w:rsidRDefault="00296248">
      <w:r>
        <w:t>Povećanje stavke obaveza u izvještajnom razdoblju odnosi se prije svega na povećanje Obveza za zaposlene (bez povećanja broja zaposlenih,  razlog je povećanje plaća sukladno reformi plaća državnih službenika) te znatnog povećanja Obveza za materijalne rashode (u ovom ukupnom iznosu je obveza prema Europskom patentnom uredu za  pristojbe iz zadnjeg kvartala 2025. (295.153,91 €), koje je potrebno  podmiriti do kraja siječnja 2026.)</w:t>
      </w:r>
      <w:r>
        <w:br/>
        <w:t xml:space="preserve">U usporednom razdoblju ova se obveza (a ni rashod) nije evidentirala na ovaj način, već u </w:t>
      </w:r>
      <w:r>
        <w:lastRenderedPageBreak/>
        <w:t xml:space="preserve">mjesecu dospijeća, za razliku od 2025. kada se, od 1.1.2025. primjenjuju odredbe Pravilnika o proračunskom </w:t>
      </w:r>
      <w:proofErr w:type="spellStart"/>
      <w:r>
        <w:t>računovodstviu</w:t>
      </w:r>
      <w:proofErr w:type="spellEnd"/>
      <w:r>
        <w:t xml:space="preserve"> i Računskom planu NN 158/2023, 154/2024. </w:t>
      </w:r>
    </w:p>
    <w:p w14:paraId="1E005737" w14:textId="77777777" w:rsidR="007030E7" w:rsidRDefault="007030E7"/>
    <w:p w14:paraId="0E1E918E" w14:textId="77777777" w:rsidR="007030E7" w:rsidRDefault="00296248">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57797C84" w14:textId="77777777">
        <w:trPr>
          <w:cantSplit/>
        </w:trPr>
        <w:tc>
          <w:tcPr>
            <w:tcW w:w="700" w:type="dxa"/>
            <w:shd w:val="clear" w:color="auto" w:fill="E7F0F9"/>
            <w:tcMar>
              <w:top w:w="0" w:type="dxa"/>
              <w:bottom w:w="0" w:type="dxa"/>
            </w:tcMar>
            <w:vAlign w:val="center"/>
          </w:tcPr>
          <w:p w14:paraId="45C2AD62"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82564D"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35AFAD"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A1424E" w14:textId="77777777" w:rsidR="007030E7" w:rsidRDefault="002962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79AEF5" w14:textId="77777777" w:rsidR="007030E7" w:rsidRDefault="002962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39DA53" w14:textId="77777777" w:rsidR="007030E7" w:rsidRDefault="00296248">
            <w:pPr>
              <w:keepNext/>
              <w:keepLines/>
              <w:spacing w:after="0" w:line="240" w:lineRule="auto"/>
              <w:jc w:val="center"/>
            </w:pPr>
            <w:r>
              <w:rPr>
                <w:b/>
                <w:sz w:val="18"/>
              </w:rPr>
              <w:t>Indeks (%)</w:t>
            </w:r>
          </w:p>
        </w:tc>
      </w:tr>
      <w:tr w:rsidR="007030E7" w14:paraId="3E9875B4" w14:textId="77777777">
        <w:trPr>
          <w:cantSplit/>
          <w:trHeight w:val="560"/>
        </w:trPr>
        <w:tc>
          <w:tcPr>
            <w:tcW w:w="700" w:type="dxa"/>
            <w:tcMar>
              <w:top w:w="0" w:type="dxa"/>
              <w:bottom w:w="0" w:type="dxa"/>
            </w:tcMar>
            <w:vAlign w:val="center"/>
          </w:tcPr>
          <w:p w14:paraId="6AAAB00A" w14:textId="77777777" w:rsidR="007030E7" w:rsidRDefault="00296248">
            <w:pPr>
              <w:keepNext/>
              <w:keepLines/>
              <w:spacing w:after="0" w:line="240" w:lineRule="auto"/>
            </w:pPr>
            <w:r>
              <w:rPr>
                <w:sz w:val="18"/>
              </w:rPr>
              <w:t>9</w:t>
            </w:r>
          </w:p>
        </w:tc>
        <w:tc>
          <w:tcPr>
            <w:tcW w:w="3180" w:type="dxa"/>
            <w:tcMar>
              <w:top w:w="0" w:type="dxa"/>
              <w:bottom w:w="0" w:type="dxa"/>
            </w:tcMar>
            <w:vAlign w:val="center"/>
          </w:tcPr>
          <w:p w14:paraId="3130528A" w14:textId="77777777" w:rsidR="007030E7" w:rsidRDefault="00296248">
            <w:pPr>
              <w:keepNext/>
              <w:keepLines/>
              <w:spacing w:after="0" w:line="240" w:lineRule="auto"/>
            </w:pPr>
            <w:r>
              <w:rPr>
                <w:sz w:val="18"/>
              </w:rPr>
              <w:t>Vlastiti izvori (šifre 91 + 922 - 93 + 96 + 97)</w:t>
            </w:r>
          </w:p>
        </w:tc>
        <w:tc>
          <w:tcPr>
            <w:tcW w:w="700" w:type="dxa"/>
            <w:tcMar>
              <w:top w:w="0" w:type="dxa"/>
              <w:bottom w:w="0" w:type="dxa"/>
            </w:tcMar>
            <w:vAlign w:val="center"/>
          </w:tcPr>
          <w:p w14:paraId="25DB48FB" w14:textId="77777777" w:rsidR="007030E7" w:rsidRDefault="00296248">
            <w:pPr>
              <w:keepNext/>
              <w:keepLines/>
              <w:spacing w:after="0" w:line="240" w:lineRule="auto"/>
            </w:pPr>
            <w:r>
              <w:rPr>
                <w:sz w:val="18"/>
              </w:rPr>
              <w:t>9</w:t>
            </w:r>
          </w:p>
        </w:tc>
        <w:tc>
          <w:tcPr>
            <w:tcW w:w="1860" w:type="dxa"/>
            <w:tcMar>
              <w:top w:w="0" w:type="dxa"/>
              <w:bottom w:w="0" w:type="dxa"/>
            </w:tcMar>
            <w:vAlign w:val="center"/>
          </w:tcPr>
          <w:p w14:paraId="688B9EA5" w14:textId="77777777" w:rsidR="007030E7" w:rsidRDefault="00296248">
            <w:pPr>
              <w:keepNext/>
              <w:keepLines/>
              <w:spacing w:after="0" w:line="240" w:lineRule="auto"/>
              <w:jc w:val="right"/>
            </w:pPr>
            <w:r>
              <w:rPr>
                <w:sz w:val="18"/>
              </w:rPr>
              <w:t>3.588.820,40</w:t>
            </w:r>
          </w:p>
        </w:tc>
        <w:tc>
          <w:tcPr>
            <w:tcW w:w="1860" w:type="dxa"/>
            <w:tcMar>
              <w:top w:w="0" w:type="dxa"/>
              <w:bottom w:w="0" w:type="dxa"/>
            </w:tcMar>
            <w:vAlign w:val="center"/>
          </w:tcPr>
          <w:p w14:paraId="4F521B7F" w14:textId="77777777" w:rsidR="007030E7" w:rsidRDefault="00296248">
            <w:pPr>
              <w:keepNext/>
              <w:keepLines/>
              <w:spacing w:after="0" w:line="240" w:lineRule="auto"/>
              <w:jc w:val="right"/>
            </w:pPr>
            <w:r>
              <w:rPr>
                <w:sz w:val="18"/>
              </w:rPr>
              <w:t>3.037.944,78</w:t>
            </w:r>
          </w:p>
        </w:tc>
        <w:tc>
          <w:tcPr>
            <w:tcW w:w="700" w:type="dxa"/>
            <w:tcMar>
              <w:top w:w="0" w:type="dxa"/>
              <w:bottom w:w="0" w:type="dxa"/>
            </w:tcMar>
            <w:vAlign w:val="center"/>
          </w:tcPr>
          <w:p w14:paraId="1BF5C522" w14:textId="77777777" w:rsidR="007030E7" w:rsidRDefault="00296248">
            <w:pPr>
              <w:keepNext/>
              <w:keepLines/>
              <w:spacing w:after="0" w:line="240" w:lineRule="auto"/>
              <w:jc w:val="right"/>
            </w:pPr>
            <w:r>
              <w:rPr>
                <w:sz w:val="18"/>
              </w:rPr>
              <w:t>84,7</w:t>
            </w:r>
          </w:p>
        </w:tc>
      </w:tr>
    </w:tbl>
    <w:p w14:paraId="79E857C0" w14:textId="77777777" w:rsidR="007030E7" w:rsidRDefault="007030E7">
      <w:pPr>
        <w:spacing w:after="0"/>
      </w:pPr>
    </w:p>
    <w:p w14:paraId="617B4707" w14:textId="77777777" w:rsidR="007030E7" w:rsidRDefault="00296248">
      <w:r>
        <w:t>Stanje na kontima vlastitih izvora (šifra 9) sastoji se od Vlastitih izvora i ispravka vlastitih izvora (šifra 91; smanjenje u odnosu na usporedno razdoblje je rezultat nabave dugotrajne materijalne imovine (najvećim dijelom iz ostalih izvora financiranja) i obračuna ispravka vrijednosti) te kumuliranog viška prihoda (šifra 922). Višak prihoda poslovanja (šifra 92211) je smanjen u odnosu na usporedno razdoblje zbog manjka Prihoda i primitaka (šifra Y005 u PR-RAS).</w:t>
      </w:r>
      <w:r>
        <w:br/>
        <w:t>Manjak prihoda od nefinancijske imovine je tehnička kategorija rezultata koji se ispravlja aktom raspodjele u sljedećoj godini.  </w:t>
      </w:r>
    </w:p>
    <w:p w14:paraId="5160AF22" w14:textId="77777777" w:rsidR="007030E7" w:rsidRDefault="007030E7"/>
    <w:p w14:paraId="052B9228" w14:textId="77777777" w:rsidR="007030E7" w:rsidRDefault="00296248">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6CF5C3DC" w14:textId="77777777">
        <w:trPr>
          <w:cantSplit/>
        </w:trPr>
        <w:tc>
          <w:tcPr>
            <w:tcW w:w="700" w:type="dxa"/>
            <w:shd w:val="clear" w:color="auto" w:fill="E7F0F9"/>
            <w:tcMar>
              <w:top w:w="0" w:type="dxa"/>
              <w:bottom w:w="0" w:type="dxa"/>
            </w:tcMar>
            <w:vAlign w:val="center"/>
          </w:tcPr>
          <w:p w14:paraId="7392C419"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79DC6E"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0A50C9"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CA0D48" w14:textId="77777777" w:rsidR="007030E7" w:rsidRDefault="00296248">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6C49F6" w14:textId="77777777" w:rsidR="007030E7" w:rsidRDefault="00296248">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5E5527" w14:textId="77777777" w:rsidR="007030E7" w:rsidRDefault="00296248">
            <w:pPr>
              <w:keepNext/>
              <w:keepLines/>
              <w:spacing w:after="0" w:line="240" w:lineRule="auto"/>
              <w:jc w:val="center"/>
            </w:pPr>
            <w:r>
              <w:rPr>
                <w:b/>
                <w:sz w:val="18"/>
              </w:rPr>
              <w:t>Indeks (%)</w:t>
            </w:r>
          </w:p>
        </w:tc>
      </w:tr>
      <w:tr w:rsidR="007030E7" w14:paraId="54DA4791" w14:textId="77777777">
        <w:trPr>
          <w:cantSplit/>
          <w:trHeight w:val="560"/>
        </w:trPr>
        <w:tc>
          <w:tcPr>
            <w:tcW w:w="700" w:type="dxa"/>
            <w:tcMar>
              <w:top w:w="0" w:type="dxa"/>
              <w:bottom w:w="0" w:type="dxa"/>
            </w:tcMar>
            <w:vAlign w:val="center"/>
          </w:tcPr>
          <w:p w14:paraId="2B67B128" w14:textId="77777777" w:rsidR="007030E7" w:rsidRDefault="00296248">
            <w:pPr>
              <w:keepNext/>
              <w:keepLines/>
              <w:spacing w:after="0" w:line="240" w:lineRule="auto"/>
            </w:pPr>
            <w:r>
              <w:rPr>
                <w:sz w:val="18"/>
              </w:rPr>
              <w:t>991</w:t>
            </w:r>
          </w:p>
        </w:tc>
        <w:tc>
          <w:tcPr>
            <w:tcW w:w="3180" w:type="dxa"/>
            <w:tcMar>
              <w:top w:w="0" w:type="dxa"/>
              <w:bottom w:w="0" w:type="dxa"/>
            </w:tcMar>
            <w:vAlign w:val="center"/>
          </w:tcPr>
          <w:p w14:paraId="4404041A" w14:textId="77777777" w:rsidR="007030E7" w:rsidRDefault="00296248">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691E389A" w14:textId="77777777" w:rsidR="007030E7" w:rsidRDefault="00296248">
            <w:pPr>
              <w:keepNext/>
              <w:keepLines/>
              <w:spacing w:after="0" w:line="240" w:lineRule="auto"/>
            </w:pPr>
            <w:r>
              <w:rPr>
                <w:sz w:val="18"/>
              </w:rPr>
              <w:t>991</w:t>
            </w:r>
          </w:p>
        </w:tc>
        <w:tc>
          <w:tcPr>
            <w:tcW w:w="1860" w:type="dxa"/>
            <w:tcMar>
              <w:top w:w="0" w:type="dxa"/>
              <w:bottom w:w="0" w:type="dxa"/>
            </w:tcMar>
            <w:vAlign w:val="center"/>
          </w:tcPr>
          <w:p w14:paraId="476E6002" w14:textId="77777777" w:rsidR="007030E7" w:rsidRDefault="00296248">
            <w:pPr>
              <w:keepNext/>
              <w:keepLines/>
              <w:spacing w:after="0" w:line="240" w:lineRule="auto"/>
              <w:jc w:val="right"/>
            </w:pPr>
            <w:r>
              <w:rPr>
                <w:sz w:val="18"/>
              </w:rPr>
              <w:t>2.818.631,53</w:t>
            </w:r>
          </w:p>
        </w:tc>
        <w:tc>
          <w:tcPr>
            <w:tcW w:w="1860" w:type="dxa"/>
            <w:tcMar>
              <w:top w:w="0" w:type="dxa"/>
              <w:bottom w:w="0" w:type="dxa"/>
            </w:tcMar>
            <w:vAlign w:val="center"/>
          </w:tcPr>
          <w:p w14:paraId="7066146D" w14:textId="77777777" w:rsidR="007030E7" w:rsidRDefault="00296248">
            <w:pPr>
              <w:keepNext/>
              <w:keepLines/>
              <w:spacing w:after="0" w:line="240" w:lineRule="auto"/>
              <w:jc w:val="right"/>
            </w:pPr>
            <w:r>
              <w:rPr>
                <w:sz w:val="18"/>
              </w:rPr>
              <w:t>2.798.441,46</w:t>
            </w:r>
          </w:p>
        </w:tc>
        <w:tc>
          <w:tcPr>
            <w:tcW w:w="700" w:type="dxa"/>
            <w:tcMar>
              <w:top w:w="0" w:type="dxa"/>
              <w:bottom w:w="0" w:type="dxa"/>
            </w:tcMar>
            <w:vAlign w:val="center"/>
          </w:tcPr>
          <w:p w14:paraId="172A826D" w14:textId="77777777" w:rsidR="007030E7" w:rsidRDefault="00296248">
            <w:pPr>
              <w:keepNext/>
              <w:keepLines/>
              <w:spacing w:after="0" w:line="240" w:lineRule="auto"/>
              <w:jc w:val="right"/>
            </w:pPr>
            <w:r>
              <w:rPr>
                <w:sz w:val="18"/>
              </w:rPr>
              <w:t>99,3</w:t>
            </w:r>
          </w:p>
        </w:tc>
      </w:tr>
    </w:tbl>
    <w:p w14:paraId="54F879D0" w14:textId="77777777" w:rsidR="007030E7" w:rsidRDefault="007030E7">
      <w:pPr>
        <w:spacing w:after="0"/>
      </w:pPr>
    </w:p>
    <w:p w14:paraId="5B660F3B" w14:textId="77777777" w:rsidR="007030E7" w:rsidRDefault="00296248">
      <w:proofErr w:type="spellStart"/>
      <w:r>
        <w:t>Izvanbilančni</w:t>
      </w:r>
      <w:proofErr w:type="spellEnd"/>
      <w:r>
        <w:t xml:space="preserve"> zapisi u iznosu od 2.798.441,46 € prikazuju tuđu imovinu dobivenu na korištenje, instrumente osiguranja plaćanja te potencijalne obveze po osnovi sudskih sporova. </w:t>
      </w:r>
      <w:r>
        <w:br/>
        <w:t>Na dan bilance nema otvorenih radnih sporova.</w:t>
      </w:r>
      <w:r>
        <w:br/>
        <w:t xml:space="preserve">Potencijalna obveza po osnovi sudskih sporova (procijenjena na iznos od 9.050 € i evidentirana u </w:t>
      </w:r>
      <w:proofErr w:type="spellStart"/>
      <w:r>
        <w:t>izvanbilančnom</w:t>
      </w:r>
      <w:proofErr w:type="spellEnd"/>
      <w:r>
        <w:t xml:space="preserve"> zapisu) odnosi se na upravne sporove pokrenute protiv odluka Zavoda u području prava industrijskog vlasništva te žalbene postupke pred Visokim upravnim sudom po istim predmetima. Ovi su sporovi neizvjesni u ishodu i iznosu, i malog financijskog učinka.  </w:t>
      </w:r>
    </w:p>
    <w:p w14:paraId="75632F22" w14:textId="77777777" w:rsidR="007030E7" w:rsidRDefault="00296248">
      <w:r>
        <w:t> </w:t>
      </w:r>
    </w:p>
    <w:p w14:paraId="79143059" w14:textId="77777777" w:rsidR="007030E7" w:rsidRDefault="00296248">
      <w:r>
        <w:t> </w:t>
      </w:r>
    </w:p>
    <w:p w14:paraId="168FB00F" w14:textId="77777777" w:rsidR="007030E7" w:rsidRDefault="007030E7"/>
    <w:p w14:paraId="2161EE51" w14:textId="77777777" w:rsidR="007030E7" w:rsidRDefault="00296248">
      <w:pPr>
        <w:keepNext/>
        <w:spacing w:line="240" w:lineRule="auto"/>
        <w:jc w:val="center"/>
      </w:pPr>
      <w:r>
        <w:rPr>
          <w:b/>
          <w:sz w:val="28"/>
        </w:rPr>
        <w:lastRenderedPageBreak/>
        <w:t>Izvještaj o rashodima prema funkcijskoj klasifikaciji</w:t>
      </w:r>
    </w:p>
    <w:p w14:paraId="45005C1D" w14:textId="77777777" w:rsidR="007030E7" w:rsidRDefault="00296248">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129FE4C0" w14:textId="77777777">
        <w:trPr>
          <w:cantSplit/>
        </w:trPr>
        <w:tc>
          <w:tcPr>
            <w:tcW w:w="700" w:type="dxa"/>
            <w:shd w:val="clear" w:color="auto" w:fill="E7F0F9"/>
            <w:tcMar>
              <w:top w:w="0" w:type="dxa"/>
              <w:bottom w:w="0" w:type="dxa"/>
            </w:tcMar>
            <w:vAlign w:val="center"/>
          </w:tcPr>
          <w:p w14:paraId="39DA9156"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06710D"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2BCD46"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6ED032" w14:textId="77777777" w:rsidR="007030E7" w:rsidRDefault="0029624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35D8DE" w14:textId="77777777" w:rsidR="007030E7" w:rsidRDefault="0029624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CD9A29" w14:textId="77777777" w:rsidR="007030E7" w:rsidRDefault="00296248">
            <w:pPr>
              <w:keepNext/>
              <w:keepLines/>
              <w:spacing w:after="0" w:line="240" w:lineRule="auto"/>
              <w:jc w:val="center"/>
            </w:pPr>
            <w:r>
              <w:rPr>
                <w:b/>
                <w:sz w:val="18"/>
              </w:rPr>
              <w:t>Indeks (%)</w:t>
            </w:r>
          </w:p>
        </w:tc>
      </w:tr>
      <w:tr w:rsidR="007030E7" w14:paraId="4C8CDD21" w14:textId="77777777">
        <w:trPr>
          <w:cantSplit/>
          <w:trHeight w:val="560"/>
        </w:trPr>
        <w:tc>
          <w:tcPr>
            <w:tcW w:w="700" w:type="dxa"/>
            <w:tcMar>
              <w:top w:w="0" w:type="dxa"/>
              <w:bottom w:w="0" w:type="dxa"/>
            </w:tcMar>
            <w:vAlign w:val="center"/>
          </w:tcPr>
          <w:p w14:paraId="1B1742AA" w14:textId="77777777" w:rsidR="007030E7" w:rsidRDefault="00296248">
            <w:pPr>
              <w:keepNext/>
              <w:keepLines/>
              <w:spacing w:after="0" w:line="240" w:lineRule="auto"/>
            </w:pPr>
            <w:r>
              <w:rPr>
                <w:sz w:val="18"/>
              </w:rPr>
              <w:t>015</w:t>
            </w:r>
          </w:p>
        </w:tc>
        <w:tc>
          <w:tcPr>
            <w:tcW w:w="3180" w:type="dxa"/>
            <w:tcMar>
              <w:top w:w="0" w:type="dxa"/>
              <w:bottom w:w="0" w:type="dxa"/>
            </w:tcMar>
            <w:vAlign w:val="center"/>
          </w:tcPr>
          <w:p w14:paraId="66652DFA" w14:textId="77777777" w:rsidR="007030E7" w:rsidRDefault="00296248">
            <w:pPr>
              <w:keepNext/>
              <w:keepLines/>
              <w:spacing w:after="0" w:line="240" w:lineRule="auto"/>
            </w:pPr>
            <w:r>
              <w:rPr>
                <w:sz w:val="18"/>
              </w:rPr>
              <w:t>Istraživanje i razvoj: Opće javne usluge</w:t>
            </w:r>
          </w:p>
        </w:tc>
        <w:tc>
          <w:tcPr>
            <w:tcW w:w="700" w:type="dxa"/>
            <w:tcMar>
              <w:top w:w="0" w:type="dxa"/>
              <w:bottom w:w="0" w:type="dxa"/>
            </w:tcMar>
            <w:vAlign w:val="center"/>
          </w:tcPr>
          <w:p w14:paraId="52A1AED4" w14:textId="77777777" w:rsidR="007030E7" w:rsidRDefault="00296248">
            <w:pPr>
              <w:keepNext/>
              <w:keepLines/>
              <w:spacing w:after="0" w:line="240" w:lineRule="auto"/>
            </w:pPr>
            <w:r>
              <w:rPr>
                <w:sz w:val="18"/>
              </w:rPr>
              <w:t>015</w:t>
            </w:r>
          </w:p>
        </w:tc>
        <w:tc>
          <w:tcPr>
            <w:tcW w:w="1860" w:type="dxa"/>
            <w:tcMar>
              <w:top w:w="0" w:type="dxa"/>
              <w:bottom w:w="0" w:type="dxa"/>
            </w:tcMar>
            <w:vAlign w:val="center"/>
          </w:tcPr>
          <w:p w14:paraId="1FBCE125" w14:textId="77777777" w:rsidR="007030E7" w:rsidRDefault="00296248">
            <w:pPr>
              <w:keepNext/>
              <w:keepLines/>
              <w:spacing w:after="0" w:line="240" w:lineRule="auto"/>
              <w:jc w:val="right"/>
            </w:pPr>
            <w:r>
              <w:rPr>
                <w:sz w:val="18"/>
              </w:rPr>
              <w:t>4.543.265,09</w:t>
            </w:r>
          </w:p>
        </w:tc>
        <w:tc>
          <w:tcPr>
            <w:tcW w:w="1860" w:type="dxa"/>
            <w:tcMar>
              <w:top w:w="0" w:type="dxa"/>
              <w:bottom w:w="0" w:type="dxa"/>
            </w:tcMar>
            <w:vAlign w:val="center"/>
          </w:tcPr>
          <w:p w14:paraId="2C161206" w14:textId="77777777" w:rsidR="007030E7" w:rsidRDefault="00296248">
            <w:pPr>
              <w:keepNext/>
              <w:keepLines/>
              <w:spacing w:after="0" w:line="240" w:lineRule="auto"/>
              <w:jc w:val="right"/>
            </w:pPr>
            <w:r>
              <w:rPr>
                <w:sz w:val="18"/>
              </w:rPr>
              <w:t>5.517.005,57</w:t>
            </w:r>
          </w:p>
        </w:tc>
        <w:tc>
          <w:tcPr>
            <w:tcW w:w="700" w:type="dxa"/>
            <w:tcMar>
              <w:top w:w="0" w:type="dxa"/>
              <w:bottom w:w="0" w:type="dxa"/>
            </w:tcMar>
            <w:vAlign w:val="center"/>
          </w:tcPr>
          <w:p w14:paraId="65BE31E4" w14:textId="77777777" w:rsidR="007030E7" w:rsidRDefault="00296248">
            <w:pPr>
              <w:keepNext/>
              <w:keepLines/>
              <w:spacing w:after="0" w:line="240" w:lineRule="auto"/>
              <w:jc w:val="right"/>
            </w:pPr>
            <w:r>
              <w:rPr>
                <w:sz w:val="18"/>
              </w:rPr>
              <w:t>121,4</w:t>
            </w:r>
          </w:p>
        </w:tc>
      </w:tr>
    </w:tbl>
    <w:p w14:paraId="530C2B01" w14:textId="77777777" w:rsidR="007030E7" w:rsidRDefault="007030E7">
      <w:pPr>
        <w:spacing w:after="0"/>
      </w:pPr>
    </w:p>
    <w:p w14:paraId="14DAB469" w14:textId="77777777" w:rsidR="007030E7" w:rsidRDefault="00296248">
      <w:r>
        <w:t>Zavod posluje uz samo jednu funkcijsku klasifikaciju stoga su iskazani podaci u jednoj stavci (na oznaci 0150 Istraživanje i razvoj: Opće javne usluge) te su jednaki Ukupnim rashodima i izdacima iskazanim na oznaci Y345 obrasca PR-RAS.</w:t>
      </w:r>
      <w:r>
        <w:br/>
        <w:t>Povećanje rashoda na ovoj funkciji rezultat je cjelogodišnje primjene reforme plaća državnih službenika i dvokratnog povećanja obračunske osnovice za plaće službenika  u 2025., te knjigovodstveno evidentiranje rashoda prema modificiranom računovodstvenom načelu nastanka događaja (objašnjeno kroz bilješke PR-RAS)  </w:t>
      </w:r>
    </w:p>
    <w:p w14:paraId="2547DAF7" w14:textId="77777777" w:rsidR="007030E7" w:rsidRDefault="00296248">
      <w:r>
        <w:t> </w:t>
      </w:r>
    </w:p>
    <w:p w14:paraId="50A7FFC2" w14:textId="77777777" w:rsidR="007030E7" w:rsidRDefault="007030E7"/>
    <w:p w14:paraId="580BA0FF" w14:textId="77777777" w:rsidR="007030E7" w:rsidRDefault="00296248">
      <w:pPr>
        <w:keepNext/>
        <w:spacing w:line="240" w:lineRule="auto"/>
        <w:jc w:val="center"/>
      </w:pPr>
      <w:r>
        <w:rPr>
          <w:b/>
          <w:sz w:val="28"/>
        </w:rPr>
        <w:t>Promjene u vrijednosti i obujmu imovine i obveza</w:t>
      </w:r>
    </w:p>
    <w:p w14:paraId="512C4993" w14:textId="77777777" w:rsidR="007030E7" w:rsidRDefault="00296248">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030E7" w14:paraId="0295EA70" w14:textId="77777777">
        <w:trPr>
          <w:cantSplit/>
        </w:trPr>
        <w:tc>
          <w:tcPr>
            <w:tcW w:w="700" w:type="dxa"/>
            <w:shd w:val="clear" w:color="auto" w:fill="E7F0F9"/>
            <w:tcMar>
              <w:top w:w="0" w:type="dxa"/>
              <w:bottom w:w="0" w:type="dxa"/>
            </w:tcMar>
            <w:vAlign w:val="center"/>
          </w:tcPr>
          <w:p w14:paraId="2B0F7EAB"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7B400A"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471E8"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A2CCEA" w14:textId="77777777" w:rsidR="007030E7" w:rsidRDefault="00296248">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19BFBC2" w14:textId="77777777" w:rsidR="007030E7" w:rsidRDefault="00296248">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81617A4" w14:textId="77777777" w:rsidR="007030E7" w:rsidRDefault="00296248">
            <w:pPr>
              <w:keepNext/>
              <w:keepLines/>
              <w:spacing w:after="0" w:line="240" w:lineRule="auto"/>
              <w:jc w:val="center"/>
            </w:pPr>
            <w:r>
              <w:rPr>
                <w:b/>
                <w:sz w:val="18"/>
              </w:rPr>
              <w:t>Indeks (%)</w:t>
            </w:r>
          </w:p>
        </w:tc>
      </w:tr>
      <w:tr w:rsidR="007030E7" w14:paraId="2D5654B6" w14:textId="77777777">
        <w:trPr>
          <w:cantSplit/>
          <w:trHeight w:val="560"/>
        </w:trPr>
        <w:tc>
          <w:tcPr>
            <w:tcW w:w="700" w:type="dxa"/>
            <w:tcMar>
              <w:top w:w="0" w:type="dxa"/>
              <w:bottom w:w="0" w:type="dxa"/>
            </w:tcMar>
            <w:vAlign w:val="center"/>
          </w:tcPr>
          <w:p w14:paraId="4C4F87E7" w14:textId="77777777" w:rsidR="007030E7" w:rsidRDefault="007030E7">
            <w:pPr>
              <w:keepNext/>
              <w:keepLines/>
              <w:spacing w:after="0" w:line="240" w:lineRule="auto"/>
            </w:pPr>
          </w:p>
        </w:tc>
        <w:tc>
          <w:tcPr>
            <w:tcW w:w="3180" w:type="dxa"/>
            <w:tcMar>
              <w:top w:w="0" w:type="dxa"/>
              <w:bottom w:w="0" w:type="dxa"/>
            </w:tcMar>
            <w:vAlign w:val="center"/>
          </w:tcPr>
          <w:p w14:paraId="221D921F" w14:textId="77777777" w:rsidR="007030E7" w:rsidRDefault="00296248">
            <w:pPr>
              <w:keepNext/>
              <w:keepLines/>
              <w:spacing w:after="0" w:line="240" w:lineRule="auto"/>
            </w:pPr>
            <w:r>
              <w:rPr>
                <w:sz w:val="18"/>
              </w:rPr>
              <w:t>Proizvedena dugotrajna imovina</w:t>
            </w:r>
          </w:p>
        </w:tc>
        <w:tc>
          <w:tcPr>
            <w:tcW w:w="700" w:type="dxa"/>
            <w:tcMar>
              <w:top w:w="0" w:type="dxa"/>
              <w:bottom w:w="0" w:type="dxa"/>
            </w:tcMar>
            <w:vAlign w:val="center"/>
          </w:tcPr>
          <w:p w14:paraId="637B7AA3" w14:textId="77777777" w:rsidR="007030E7" w:rsidRDefault="00296248">
            <w:pPr>
              <w:keepNext/>
              <w:keepLines/>
              <w:spacing w:after="0" w:line="240" w:lineRule="auto"/>
            </w:pPr>
            <w:r>
              <w:rPr>
                <w:sz w:val="18"/>
              </w:rPr>
              <w:t>P003</w:t>
            </w:r>
          </w:p>
        </w:tc>
        <w:tc>
          <w:tcPr>
            <w:tcW w:w="1860" w:type="dxa"/>
            <w:tcMar>
              <w:top w:w="0" w:type="dxa"/>
              <w:bottom w:w="0" w:type="dxa"/>
            </w:tcMar>
            <w:vAlign w:val="center"/>
          </w:tcPr>
          <w:p w14:paraId="131CB515" w14:textId="77777777" w:rsidR="007030E7" w:rsidRDefault="00296248">
            <w:pPr>
              <w:keepNext/>
              <w:keepLines/>
              <w:spacing w:after="0" w:line="240" w:lineRule="auto"/>
              <w:jc w:val="right"/>
            </w:pPr>
            <w:r>
              <w:rPr>
                <w:sz w:val="18"/>
              </w:rPr>
              <w:t>0,00</w:t>
            </w:r>
          </w:p>
        </w:tc>
        <w:tc>
          <w:tcPr>
            <w:tcW w:w="1860" w:type="dxa"/>
            <w:tcMar>
              <w:top w:w="0" w:type="dxa"/>
              <w:bottom w:w="0" w:type="dxa"/>
            </w:tcMar>
            <w:vAlign w:val="center"/>
          </w:tcPr>
          <w:p w14:paraId="4F5B8F64" w14:textId="77777777" w:rsidR="007030E7" w:rsidRDefault="00296248">
            <w:pPr>
              <w:keepNext/>
              <w:keepLines/>
              <w:spacing w:after="0" w:line="240" w:lineRule="auto"/>
              <w:jc w:val="right"/>
            </w:pPr>
            <w:r>
              <w:rPr>
                <w:sz w:val="18"/>
              </w:rPr>
              <w:t>47.521,57</w:t>
            </w:r>
          </w:p>
        </w:tc>
        <w:tc>
          <w:tcPr>
            <w:tcW w:w="700" w:type="dxa"/>
            <w:tcMar>
              <w:top w:w="0" w:type="dxa"/>
              <w:bottom w:w="0" w:type="dxa"/>
            </w:tcMar>
            <w:vAlign w:val="center"/>
          </w:tcPr>
          <w:p w14:paraId="0698C1FA" w14:textId="77777777" w:rsidR="007030E7" w:rsidRDefault="00296248">
            <w:pPr>
              <w:keepNext/>
              <w:keepLines/>
              <w:spacing w:after="0" w:line="240" w:lineRule="auto"/>
              <w:jc w:val="right"/>
            </w:pPr>
            <w:r>
              <w:rPr>
                <w:sz w:val="18"/>
              </w:rPr>
              <w:t>-</w:t>
            </w:r>
          </w:p>
        </w:tc>
      </w:tr>
    </w:tbl>
    <w:p w14:paraId="63FC8921" w14:textId="77777777" w:rsidR="007030E7" w:rsidRDefault="007030E7">
      <w:pPr>
        <w:spacing w:after="0"/>
      </w:pPr>
    </w:p>
    <w:p w14:paraId="6A25ADF9" w14:textId="77777777" w:rsidR="007030E7" w:rsidRDefault="00296248">
      <w:r>
        <w:t>Za proizvedenu dugotrajnu imovinu je u 2025. smanjena vrijednost za iznos ispravka vrijednosti </w:t>
      </w:r>
    </w:p>
    <w:p w14:paraId="42901461" w14:textId="77777777" w:rsidR="007030E7" w:rsidRDefault="007030E7"/>
    <w:p w14:paraId="2C6AAECC" w14:textId="77777777" w:rsidR="007030E7" w:rsidRDefault="00296248">
      <w:pPr>
        <w:keepNext/>
        <w:spacing w:line="240" w:lineRule="auto"/>
        <w:jc w:val="center"/>
      </w:pPr>
      <w:r>
        <w:rPr>
          <w:b/>
          <w:sz w:val="28"/>
        </w:rPr>
        <w:t>Izvještaj o obvezama</w:t>
      </w:r>
    </w:p>
    <w:p w14:paraId="13C08E9F" w14:textId="77777777" w:rsidR="007030E7" w:rsidRDefault="00296248">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030E7" w14:paraId="361A74E9" w14:textId="77777777">
        <w:trPr>
          <w:cantSplit/>
        </w:trPr>
        <w:tc>
          <w:tcPr>
            <w:tcW w:w="700" w:type="dxa"/>
            <w:shd w:val="clear" w:color="auto" w:fill="E7F0F9"/>
            <w:tcMar>
              <w:top w:w="0" w:type="dxa"/>
              <w:bottom w:w="0" w:type="dxa"/>
            </w:tcMar>
            <w:vAlign w:val="center"/>
          </w:tcPr>
          <w:p w14:paraId="5D2C1A50"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FA63DF"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D66908"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883E09" w14:textId="77777777" w:rsidR="007030E7" w:rsidRDefault="0029624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CC0A8D9" w14:textId="77777777" w:rsidR="007030E7" w:rsidRDefault="00296248">
            <w:pPr>
              <w:keepNext/>
              <w:keepLines/>
              <w:spacing w:after="0" w:line="240" w:lineRule="auto"/>
              <w:jc w:val="center"/>
            </w:pPr>
            <w:r>
              <w:rPr>
                <w:b/>
                <w:sz w:val="18"/>
              </w:rPr>
              <w:t>Indeks (%)</w:t>
            </w:r>
          </w:p>
        </w:tc>
      </w:tr>
      <w:tr w:rsidR="007030E7" w14:paraId="70FBAF4B" w14:textId="77777777">
        <w:trPr>
          <w:cantSplit/>
          <w:trHeight w:val="560"/>
        </w:trPr>
        <w:tc>
          <w:tcPr>
            <w:tcW w:w="700" w:type="dxa"/>
            <w:tcMar>
              <w:top w:w="0" w:type="dxa"/>
              <w:bottom w:w="0" w:type="dxa"/>
            </w:tcMar>
            <w:vAlign w:val="center"/>
          </w:tcPr>
          <w:p w14:paraId="3003CDA9" w14:textId="77777777" w:rsidR="007030E7" w:rsidRDefault="007030E7">
            <w:pPr>
              <w:keepNext/>
              <w:keepLines/>
              <w:spacing w:after="0" w:line="240" w:lineRule="auto"/>
            </w:pPr>
          </w:p>
        </w:tc>
        <w:tc>
          <w:tcPr>
            <w:tcW w:w="3180" w:type="dxa"/>
            <w:tcMar>
              <w:top w:w="0" w:type="dxa"/>
              <w:bottom w:w="0" w:type="dxa"/>
            </w:tcMar>
            <w:vAlign w:val="center"/>
          </w:tcPr>
          <w:p w14:paraId="1CF59D05" w14:textId="77777777" w:rsidR="007030E7" w:rsidRDefault="00296248">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15958D61" w14:textId="77777777" w:rsidR="007030E7" w:rsidRDefault="00296248">
            <w:pPr>
              <w:keepNext/>
              <w:keepLines/>
              <w:spacing w:after="0" w:line="240" w:lineRule="auto"/>
            </w:pPr>
            <w:r>
              <w:rPr>
                <w:sz w:val="18"/>
              </w:rPr>
              <w:t>V001</w:t>
            </w:r>
          </w:p>
        </w:tc>
        <w:tc>
          <w:tcPr>
            <w:tcW w:w="1860" w:type="dxa"/>
            <w:tcMar>
              <w:top w:w="0" w:type="dxa"/>
              <w:bottom w:w="0" w:type="dxa"/>
            </w:tcMar>
            <w:vAlign w:val="center"/>
          </w:tcPr>
          <w:p w14:paraId="255D7D6F" w14:textId="77777777" w:rsidR="007030E7" w:rsidRDefault="00296248">
            <w:pPr>
              <w:keepNext/>
              <w:keepLines/>
              <w:spacing w:after="0" w:line="240" w:lineRule="auto"/>
              <w:jc w:val="right"/>
            </w:pPr>
            <w:r>
              <w:rPr>
                <w:sz w:val="18"/>
              </w:rPr>
              <w:t>283.653,17</w:t>
            </w:r>
          </w:p>
        </w:tc>
        <w:tc>
          <w:tcPr>
            <w:tcW w:w="700" w:type="dxa"/>
            <w:tcMar>
              <w:top w:w="0" w:type="dxa"/>
              <w:bottom w:w="0" w:type="dxa"/>
            </w:tcMar>
            <w:vAlign w:val="center"/>
          </w:tcPr>
          <w:p w14:paraId="0EA1D1D6" w14:textId="77777777" w:rsidR="007030E7" w:rsidRDefault="00296248">
            <w:pPr>
              <w:keepNext/>
              <w:keepLines/>
              <w:spacing w:after="0" w:line="240" w:lineRule="auto"/>
              <w:jc w:val="right"/>
            </w:pPr>
            <w:r>
              <w:rPr>
                <w:sz w:val="18"/>
              </w:rPr>
              <w:t>-</w:t>
            </w:r>
          </w:p>
        </w:tc>
      </w:tr>
    </w:tbl>
    <w:p w14:paraId="0280C510" w14:textId="77777777" w:rsidR="007030E7" w:rsidRDefault="007030E7">
      <w:pPr>
        <w:spacing w:after="0"/>
      </w:pPr>
    </w:p>
    <w:p w14:paraId="2114B12F" w14:textId="77777777" w:rsidR="007030E7" w:rsidRDefault="00296248">
      <w:r>
        <w:t>Stanje obveza na početku promatrane godine u najvećoj mjeri (83%) obuhvaća rashode za plaće za prosinac 2024. godine isplaćene u siječnju 2025. godine, dok ostale rashode čine obveze za nabavu nefinancijske imovine, međusobne obveze subjekata općeg proračuna, te obveze za materijalne rashode. Sve su obaveze nedospjele s datumom 1. siječnja 2025.</w:t>
      </w:r>
    </w:p>
    <w:p w14:paraId="31DE1EA9" w14:textId="77777777" w:rsidR="007030E7" w:rsidRDefault="007030E7"/>
    <w:p w14:paraId="314B07EC" w14:textId="77777777" w:rsidR="007030E7" w:rsidRDefault="00296248">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030E7" w14:paraId="1EFDBBAD" w14:textId="77777777">
        <w:trPr>
          <w:cantSplit/>
        </w:trPr>
        <w:tc>
          <w:tcPr>
            <w:tcW w:w="700" w:type="dxa"/>
            <w:shd w:val="clear" w:color="auto" w:fill="E7F0F9"/>
            <w:tcMar>
              <w:top w:w="0" w:type="dxa"/>
              <w:bottom w:w="0" w:type="dxa"/>
            </w:tcMar>
            <w:vAlign w:val="center"/>
          </w:tcPr>
          <w:p w14:paraId="267BAA00"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357D7E"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1C2D28"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FD1E0A" w14:textId="77777777" w:rsidR="007030E7" w:rsidRDefault="0029624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C763C8D" w14:textId="77777777" w:rsidR="007030E7" w:rsidRDefault="00296248">
            <w:pPr>
              <w:keepNext/>
              <w:keepLines/>
              <w:spacing w:after="0" w:line="240" w:lineRule="auto"/>
              <w:jc w:val="center"/>
            </w:pPr>
            <w:r>
              <w:rPr>
                <w:b/>
                <w:sz w:val="18"/>
              </w:rPr>
              <w:t>Indeks (%)</w:t>
            </w:r>
          </w:p>
        </w:tc>
      </w:tr>
      <w:tr w:rsidR="007030E7" w14:paraId="7B566154" w14:textId="77777777">
        <w:trPr>
          <w:cantSplit/>
          <w:trHeight w:val="560"/>
        </w:trPr>
        <w:tc>
          <w:tcPr>
            <w:tcW w:w="700" w:type="dxa"/>
            <w:tcMar>
              <w:top w:w="0" w:type="dxa"/>
              <w:bottom w:w="0" w:type="dxa"/>
            </w:tcMar>
            <w:vAlign w:val="center"/>
          </w:tcPr>
          <w:p w14:paraId="07159625" w14:textId="77777777" w:rsidR="007030E7" w:rsidRDefault="007030E7">
            <w:pPr>
              <w:keepNext/>
              <w:keepLines/>
              <w:spacing w:after="0" w:line="240" w:lineRule="auto"/>
            </w:pPr>
          </w:p>
        </w:tc>
        <w:tc>
          <w:tcPr>
            <w:tcW w:w="3180" w:type="dxa"/>
            <w:tcMar>
              <w:top w:w="0" w:type="dxa"/>
              <w:bottom w:w="0" w:type="dxa"/>
            </w:tcMar>
            <w:vAlign w:val="center"/>
          </w:tcPr>
          <w:p w14:paraId="622DC90E" w14:textId="77777777" w:rsidR="007030E7" w:rsidRDefault="00296248">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1870018" w14:textId="77777777" w:rsidR="007030E7" w:rsidRDefault="00296248">
            <w:pPr>
              <w:keepNext/>
              <w:keepLines/>
              <w:spacing w:after="0" w:line="240" w:lineRule="auto"/>
            </w:pPr>
            <w:r>
              <w:rPr>
                <w:sz w:val="18"/>
              </w:rPr>
              <w:t>V007</w:t>
            </w:r>
          </w:p>
        </w:tc>
        <w:tc>
          <w:tcPr>
            <w:tcW w:w="1860" w:type="dxa"/>
            <w:tcMar>
              <w:top w:w="0" w:type="dxa"/>
              <w:bottom w:w="0" w:type="dxa"/>
            </w:tcMar>
            <w:vAlign w:val="center"/>
          </w:tcPr>
          <w:p w14:paraId="031B62AD" w14:textId="77777777" w:rsidR="007030E7" w:rsidRDefault="00296248">
            <w:pPr>
              <w:keepNext/>
              <w:keepLines/>
              <w:spacing w:after="0" w:line="240" w:lineRule="auto"/>
              <w:jc w:val="right"/>
            </w:pPr>
            <w:r>
              <w:rPr>
                <w:sz w:val="18"/>
              </w:rPr>
              <w:t>0,00</w:t>
            </w:r>
          </w:p>
        </w:tc>
        <w:tc>
          <w:tcPr>
            <w:tcW w:w="700" w:type="dxa"/>
            <w:tcMar>
              <w:top w:w="0" w:type="dxa"/>
              <w:bottom w:w="0" w:type="dxa"/>
            </w:tcMar>
            <w:vAlign w:val="center"/>
          </w:tcPr>
          <w:p w14:paraId="4CA5450A" w14:textId="77777777" w:rsidR="007030E7" w:rsidRDefault="00296248">
            <w:pPr>
              <w:keepNext/>
              <w:keepLines/>
              <w:spacing w:after="0" w:line="240" w:lineRule="auto"/>
              <w:jc w:val="right"/>
            </w:pPr>
            <w:r>
              <w:rPr>
                <w:sz w:val="18"/>
              </w:rPr>
              <w:t>-</w:t>
            </w:r>
          </w:p>
        </w:tc>
      </w:tr>
    </w:tbl>
    <w:p w14:paraId="3BE0DC69" w14:textId="77777777" w:rsidR="007030E7" w:rsidRDefault="007030E7">
      <w:pPr>
        <w:spacing w:after="0"/>
      </w:pPr>
    </w:p>
    <w:p w14:paraId="3C747C97" w14:textId="77777777" w:rsidR="007030E7" w:rsidRDefault="00296248">
      <w:r>
        <w:t>Nema dospjelih obveza na kraju izvještajnog razdoblja.</w:t>
      </w:r>
    </w:p>
    <w:p w14:paraId="5BDC7B87" w14:textId="77777777" w:rsidR="007030E7" w:rsidRDefault="007030E7"/>
    <w:p w14:paraId="347BDF9B" w14:textId="77777777" w:rsidR="007030E7" w:rsidRDefault="00296248">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030E7" w14:paraId="1B788278" w14:textId="77777777">
        <w:trPr>
          <w:cantSplit/>
        </w:trPr>
        <w:tc>
          <w:tcPr>
            <w:tcW w:w="700" w:type="dxa"/>
            <w:shd w:val="clear" w:color="auto" w:fill="E7F0F9"/>
            <w:tcMar>
              <w:top w:w="0" w:type="dxa"/>
              <w:bottom w:w="0" w:type="dxa"/>
            </w:tcMar>
            <w:vAlign w:val="center"/>
          </w:tcPr>
          <w:p w14:paraId="0F3E16ED" w14:textId="77777777" w:rsidR="007030E7" w:rsidRDefault="00296248">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023EDD" w14:textId="77777777" w:rsidR="007030E7" w:rsidRDefault="0029624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328A09" w14:textId="77777777" w:rsidR="007030E7" w:rsidRDefault="0029624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E66EBB" w14:textId="77777777" w:rsidR="007030E7" w:rsidRDefault="00296248">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132F89E" w14:textId="77777777" w:rsidR="007030E7" w:rsidRDefault="00296248">
            <w:pPr>
              <w:keepNext/>
              <w:keepLines/>
              <w:spacing w:after="0" w:line="240" w:lineRule="auto"/>
              <w:jc w:val="center"/>
            </w:pPr>
            <w:r>
              <w:rPr>
                <w:b/>
                <w:sz w:val="18"/>
              </w:rPr>
              <w:t>Indeks (%)</w:t>
            </w:r>
          </w:p>
        </w:tc>
      </w:tr>
      <w:tr w:rsidR="007030E7" w14:paraId="51F08556" w14:textId="77777777">
        <w:trPr>
          <w:cantSplit/>
          <w:trHeight w:val="560"/>
        </w:trPr>
        <w:tc>
          <w:tcPr>
            <w:tcW w:w="700" w:type="dxa"/>
            <w:tcMar>
              <w:top w:w="0" w:type="dxa"/>
              <w:bottom w:w="0" w:type="dxa"/>
            </w:tcMar>
            <w:vAlign w:val="center"/>
          </w:tcPr>
          <w:p w14:paraId="7931EA7E" w14:textId="77777777" w:rsidR="007030E7" w:rsidRDefault="007030E7">
            <w:pPr>
              <w:keepNext/>
              <w:keepLines/>
              <w:spacing w:after="0" w:line="240" w:lineRule="auto"/>
            </w:pPr>
          </w:p>
        </w:tc>
        <w:tc>
          <w:tcPr>
            <w:tcW w:w="3180" w:type="dxa"/>
            <w:tcMar>
              <w:top w:w="0" w:type="dxa"/>
              <w:bottom w:w="0" w:type="dxa"/>
            </w:tcMar>
            <w:vAlign w:val="center"/>
          </w:tcPr>
          <w:p w14:paraId="0AFDD242" w14:textId="77777777" w:rsidR="007030E7" w:rsidRDefault="00296248">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4677EE31" w14:textId="77777777" w:rsidR="007030E7" w:rsidRDefault="00296248">
            <w:pPr>
              <w:keepNext/>
              <w:keepLines/>
              <w:spacing w:after="0" w:line="240" w:lineRule="auto"/>
            </w:pPr>
            <w:r>
              <w:rPr>
                <w:sz w:val="18"/>
              </w:rPr>
              <w:t>V009</w:t>
            </w:r>
          </w:p>
        </w:tc>
        <w:tc>
          <w:tcPr>
            <w:tcW w:w="1860" w:type="dxa"/>
            <w:tcMar>
              <w:top w:w="0" w:type="dxa"/>
              <w:bottom w:w="0" w:type="dxa"/>
            </w:tcMar>
            <w:vAlign w:val="center"/>
          </w:tcPr>
          <w:p w14:paraId="01F99AD5" w14:textId="77777777" w:rsidR="007030E7" w:rsidRDefault="00296248">
            <w:pPr>
              <w:keepNext/>
              <w:keepLines/>
              <w:spacing w:after="0" w:line="240" w:lineRule="auto"/>
              <w:jc w:val="right"/>
            </w:pPr>
            <w:r>
              <w:rPr>
                <w:sz w:val="18"/>
              </w:rPr>
              <w:t>581.332,94</w:t>
            </w:r>
          </w:p>
        </w:tc>
        <w:tc>
          <w:tcPr>
            <w:tcW w:w="700" w:type="dxa"/>
            <w:tcMar>
              <w:top w:w="0" w:type="dxa"/>
              <w:bottom w:w="0" w:type="dxa"/>
            </w:tcMar>
            <w:vAlign w:val="center"/>
          </w:tcPr>
          <w:p w14:paraId="5FB5865D" w14:textId="77777777" w:rsidR="007030E7" w:rsidRDefault="00296248">
            <w:pPr>
              <w:keepNext/>
              <w:keepLines/>
              <w:spacing w:after="0" w:line="240" w:lineRule="auto"/>
              <w:jc w:val="right"/>
            </w:pPr>
            <w:r>
              <w:rPr>
                <w:sz w:val="18"/>
              </w:rPr>
              <w:t>-</w:t>
            </w:r>
          </w:p>
        </w:tc>
      </w:tr>
    </w:tbl>
    <w:p w14:paraId="13382623" w14:textId="77777777" w:rsidR="007030E7" w:rsidRDefault="007030E7">
      <w:pPr>
        <w:spacing w:after="0"/>
      </w:pPr>
    </w:p>
    <w:p w14:paraId="6C1BC3C9" w14:textId="77777777" w:rsidR="007030E7" w:rsidRDefault="00296248">
      <w:r>
        <w:t>Nedospjele obveze na kraju izvještajnog razdoblja se najvećim dijelom odnose na obveze za zaposlene (255.183,87 €) -  za isplatu plaća i naknade prijevoza za prosinac 2025. godine, a koje se isplaćuju u siječnju/2026.;</w:t>
      </w:r>
      <w:r>
        <w:br/>
        <w:t>te obveze prema Europskom patentnom redu  (EPO) u iznosu 295.153,91 € za obvezu zadnjeg kvartala 2025., a koja dospijeva u siječnju 2026. (prijenos dijela uplaćenih  pristojbi temeljem Konvencije o priznavanju europskih patenata (EPC) za održavanje u vrijednosti europskih patenata potvrđenih (</w:t>
      </w:r>
      <w:proofErr w:type="spellStart"/>
      <w:r>
        <w:t>validiranih</w:t>
      </w:r>
      <w:proofErr w:type="spellEnd"/>
      <w:r>
        <w:t xml:space="preserve">) u Republici Hrvatskoj (visina kojih ovisi o broju </w:t>
      </w:r>
      <w:proofErr w:type="spellStart"/>
      <w:r>
        <w:t>validiranih</w:t>
      </w:r>
      <w:proofErr w:type="spellEnd"/>
      <w:r>
        <w:t xml:space="preserve"> europskih patenata u pojedinom razdoblju, kao i o godini te ukupnom trajanju održavanja patenata od strane njihovih nositelja).</w:t>
      </w:r>
      <w:r>
        <w:br/>
        <w:t>Ostale obveze su redovne obveze prema dobavljačima za rashode poslovanja, a koje dospijevaju u mjesecu koji slijedi (radi se o poštanskim, telefonskim i internetskim uslugama, uslugama tehničke podrške, usluzi ispisa i usluzi voditelja informacijske sigurnosti - sveukupno u iznosu od 25.525,83 te obveze proračunskog korisnika za povrat u proračun po osnovi bolovanja na teret HZZO-a (u iznosu od 5.469,33 €).</w:t>
      </w:r>
    </w:p>
    <w:p w14:paraId="0032E345" w14:textId="77777777" w:rsidR="007030E7" w:rsidRDefault="007030E7"/>
    <w:sectPr w:rsidR="007030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E7"/>
    <w:rsid w:val="00296248"/>
    <w:rsid w:val="00397759"/>
    <w:rsid w:val="00643CB3"/>
    <w:rsid w:val="007030E7"/>
    <w:rsid w:val="00B5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0E08"/>
  <w15:docId w15:val="{03032857-666F-45CE-9668-58892E50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53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4250</Words>
  <Characters>24228</Characters>
  <Application>Microsoft Office Word</Application>
  <DocSecurity>0</DocSecurity>
  <Lines>201</Lines>
  <Paragraphs>56</Paragraphs>
  <ScaleCrop>false</ScaleCrop>
  <Company/>
  <LinksUpToDate>false</LinksUpToDate>
  <CharactersWithSpaces>28422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Dukarić</dc:creator>
  <cp:lastModifiedBy>Ines Petrošanec</cp:lastModifiedBy>
  <cp:revision>2</cp:revision>
  <dcterms:created xsi:type="dcterms:W3CDTF">2026-02-02T14:04:00Z</dcterms:created>
  <dcterms:modified xsi:type="dcterms:W3CDTF">2026-02-02T14:04:00Z</dcterms:modified>
</cp:coreProperties>
</file>