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38812" w14:textId="2FE38C87" w:rsidR="00C520D6" w:rsidRPr="00C520D6" w:rsidRDefault="00C520D6" w:rsidP="00C520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20D6">
        <w:rPr>
          <w:rFonts w:ascii="Times New Roman" w:hAnsi="Times New Roman" w:cs="Times New Roman"/>
          <w:sz w:val="24"/>
          <w:szCs w:val="24"/>
        </w:rPr>
        <w:t xml:space="preserve">Obrazloženje </w:t>
      </w:r>
      <w:r w:rsidRPr="00C520D6">
        <w:rPr>
          <w:rFonts w:ascii="Times New Roman" w:hAnsi="Times New Roman" w:cs="Times New Roman"/>
          <w:b/>
          <w:sz w:val="24"/>
          <w:szCs w:val="24"/>
        </w:rPr>
        <w:t>POSEBNOG dijela</w:t>
      </w:r>
      <w:r w:rsidRPr="00C520D6">
        <w:rPr>
          <w:rFonts w:ascii="Times New Roman" w:hAnsi="Times New Roman" w:cs="Times New Roman"/>
          <w:sz w:val="24"/>
          <w:szCs w:val="24"/>
        </w:rPr>
        <w:t xml:space="preserve"> </w:t>
      </w:r>
      <w:r w:rsidRPr="00C520D6">
        <w:rPr>
          <w:rFonts w:ascii="Times New Roman" w:hAnsi="Times New Roman" w:cs="Times New Roman"/>
          <w:i/>
          <w:iCs/>
          <w:sz w:val="24"/>
          <w:szCs w:val="24"/>
        </w:rPr>
        <w:t xml:space="preserve">Godišnjeg izvještaja o izvršenju FP za </w:t>
      </w:r>
      <w:r w:rsidRPr="00C520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</w:t>
      </w:r>
      <w:r w:rsidR="000971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C520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154EA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520D6">
        <w:rPr>
          <w:rFonts w:ascii="Times New Roman" w:hAnsi="Times New Roman" w:cs="Times New Roman"/>
          <w:i/>
          <w:iCs/>
          <w:sz w:val="24"/>
          <w:szCs w:val="24"/>
        </w:rPr>
        <w:t>godinu</w:t>
      </w:r>
      <w:r w:rsidRPr="00C520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3357FE" w14:textId="77777777" w:rsidR="00C520D6" w:rsidRPr="00C520D6" w:rsidRDefault="00C520D6" w:rsidP="00C520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A4F323" w14:textId="77777777" w:rsidR="00C520D6" w:rsidRPr="00C520D6" w:rsidRDefault="00C520D6" w:rsidP="00C520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0D6">
        <w:rPr>
          <w:rFonts w:ascii="Times New Roman" w:hAnsi="Times New Roman" w:cs="Times New Roman"/>
          <w:b/>
          <w:sz w:val="24"/>
          <w:szCs w:val="24"/>
        </w:rPr>
        <w:t>08012 DRŽAVNI ZAVOD ZA INTELEKTUALNO VLASNIŠTVO</w:t>
      </w:r>
    </w:p>
    <w:p w14:paraId="499A71FB" w14:textId="77777777" w:rsidR="00C520D6" w:rsidRDefault="00C520D6" w:rsidP="00562A9D">
      <w:pPr>
        <w:jc w:val="center"/>
        <w:rPr>
          <w:rFonts w:cstheme="minorHAnsi"/>
          <w:b/>
          <w:sz w:val="24"/>
          <w:szCs w:val="24"/>
          <w:highlight w:val="yellow"/>
        </w:rPr>
      </w:pPr>
    </w:p>
    <w:p w14:paraId="5D946543" w14:textId="77777777" w:rsidR="00EF05CF" w:rsidRPr="00AA4EFD" w:rsidRDefault="008043DB" w:rsidP="00EF05CF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8"/>
        </w:rPr>
      </w:pPr>
      <w:r w:rsidRPr="00AA4EFD">
        <w:rPr>
          <w:rFonts w:ascii="Times New Roman" w:hAnsi="Times New Roman" w:cs="Times New Roman"/>
          <w:b/>
          <w:sz w:val="28"/>
        </w:rPr>
        <w:t xml:space="preserve">08012 </w:t>
      </w:r>
      <w:r w:rsidRPr="00AA4EFD">
        <w:rPr>
          <w:rFonts w:ascii="Times New Roman" w:hAnsi="Times New Roman" w:cs="Times New Roman"/>
          <w:b/>
          <w:sz w:val="28"/>
        </w:rPr>
        <w:tab/>
      </w:r>
      <w:r w:rsidR="00EF05CF" w:rsidRPr="00AA4EFD">
        <w:rPr>
          <w:rFonts w:ascii="Times New Roman" w:hAnsi="Times New Roman" w:cs="Times New Roman"/>
          <w:b/>
          <w:sz w:val="28"/>
        </w:rPr>
        <w:t xml:space="preserve">Sažetak djelokruga </w:t>
      </w:r>
      <w:r w:rsidR="00F51C89" w:rsidRPr="00AA4EFD">
        <w:rPr>
          <w:rFonts w:ascii="Times New Roman" w:hAnsi="Times New Roman" w:cs="Times New Roman"/>
          <w:b/>
          <w:sz w:val="28"/>
        </w:rPr>
        <w:t xml:space="preserve">Državnog zavoda za intelektualno vlasništvo </w:t>
      </w:r>
    </w:p>
    <w:p w14:paraId="63D13938" w14:textId="77777777" w:rsidR="00D3371E" w:rsidRPr="009536C9" w:rsidRDefault="00D3371E" w:rsidP="00D3371E">
      <w:pPr>
        <w:jc w:val="both"/>
        <w:rPr>
          <w:rFonts w:ascii="Times New Roman" w:hAnsi="Times New Roman" w:cs="Times New Roman"/>
          <w:sz w:val="24"/>
          <w:szCs w:val="24"/>
        </w:rPr>
      </w:pPr>
      <w:r w:rsidRPr="009536C9">
        <w:rPr>
          <w:rFonts w:ascii="Times New Roman" w:hAnsi="Times New Roman" w:cs="Times New Roman"/>
          <w:sz w:val="24"/>
          <w:szCs w:val="24"/>
        </w:rPr>
        <w:t>Državni zavod za intelektualno vlasništvo (DZIV-a) obavlja sljedeće poslove i zadatke iz svoje nadležnosti: razvoj zakonodavnog okvira za zaštitu industrijskog vlasništva usklađen s pravnim okvirom Europske unije i međunarodnim pravnim okvirom te nacionalnim strateškim okvirom; osiguravanje kvalitetne i učinkovite provedbe postupaka za priznanje prava industrijskog vlasništva na teritoriju Republike Hrvatske (RH), koje DZIV provodi samostalno ili putem odgovarajućih međunarodnih i europskih sustava u kojima RH sudjeluje; osiguravanje, učinkovitog i poticajnog sustava zaštite autorskih i srodnih prava, usklađenog s tehnološkim razvojem, kroz razvoj odgovarajućeg zakonodavnog okvira, nadzor nad sustavom kolektivnog ostvarivanja prava te provedbu i razvoj prateće stručne djelatnosti; zastupanje interesa RH i u razvoju zajedničkog zakonodavnog i institucionalnog okvira Europske unije u području intelektualnog vlasništva; zastupanje interesa i jačanje utjecaja RH u međunarodnim (europskim i svjetskim) organizacijama i tijelima Europske unije iz područja intelektualnog vlasništva te daljnji razvoj članstva u međunarodnim konvencijama i ugovorima u skladu s ciljevima razvoja nacionalnog sustava intelektualnog vlasništva; osiguravanje provedbe obveza iz međunarodnih konvencija i ugovora iz područja intelektualnog vlasništva kojih je RH članica i koje su u nadležnosti DZIV-a; doprinos razvoju učinkovitog nacionalnog sustava provedbe prava intelektualnog vlasništva, uključujući suzbijanje prometa krivotvorenim proizvodima i piratstva, u suradnji i uz koordinaciju s tijelima za provedbu prava te drugim dionicima sustava iz javnog i privatnog sektora; doprinos razvoju primjene prava intelektualnog vlasništva u relevantnim gospodarskim i društvenim sektorima radi jačanja inovacijskih i kreativnih djelatnosti te jačanja konkurentnosti relevantnih sektora; održavanje i razvoj nacionalnih digitalnih registara industrijskog vlasništva te razvoj i održavanje pratećih nacionalnih i međunarodnih digitalnih servisa i e-usluga; razvoj javnih informacijskih i stručnih usluga te potpore korisnicima sustava zaštite i primjene intelektualnog vlasništva u suradnji s drugim dionicima nacionalnog inovacijskog sustava i sektora kreativnih i kulturnih industrija.</w:t>
      </w:r>
    </w:p>
    <w:p w14:paraId="44D2E311" w14:textId="77777777" w:rsidR="00571253" w:rsidRPr="00A36417" w:rsidRDefault="00571253" w:rsidP="00D3371E">
      <w:pPr>
        <w:ind w:firstLine="708"/>
        <w:rPr>
          <w:rFonts w:cstheme="minorHAnsi"/>
          <w:color w:val="FF0000"/>
          <w:highlight w:val="yellow"/>
        </w:rPr>
      </w:pPr>
    </w:p>
    <w:tbl>
      <w:tblPr>
        <w:tblStyle w:val="StilTablice"/>
        <w:tblW w:w="9508" w:type="dxa"/>
        <w:jc w:val="center"/>
        <w:tblLook w:val="04A0" w:firstRow="1" w:lastRow="0" w:firstColumn="1" w:lastColumn="0" w:noHBand="0" w:noVBand="1"/>
      </w:tblPr>
      <w:tblGrid>
        <w:gridCol w:w="1495"/>
        <w:gridCol w:w="1601"/>
        <w:gridCol w:w="1591"/>
        <w:gridCol w:w="1601"/>
        <w:gridCol w:w="1608"/>
        <w:gridCol w:w="1612"/>
      </w:tblGrid>
      <w:tr w:rsidR="00C87B7A" w:rsidRPr="00A36417" w14:paraId="2B4478DC" w14:textId="77777777" w:rsidTr="003D15EB">
        <w:trPr>
          <w:jc w:val="center"/>
        </w:trPr>
        <w:tc>
          <w:tcPr>
            <w:tcW w:w="1495" w:type="dxa"/>
            <w:shd w:val="clear" w:color="auto" w:fill="B5C0D8"/>
          </w:tcPr>
          <w:p w14:paraId="695DE781" w14:textId="77777777" w:rsidR="00C87B7A" w:rsidRPr="00A36417" w:rsidRDefault="00C87B7A" w:rsidP="00C87B7A">
            <w:pPr>
              <w:jc w:val="both"/>
              <w:rPr>
                <w:rFonts w:asciiTheme="minorHAnsi" w:hAnsiTheme="minorHAnsi" w:cstheme="minorHAnsi"/>
                <w:color w:val="FF0000"/>
                <w:highlight w:val="yellow"/>
              </w:rPr>
            </w:pPr>
          </w:p>
          <w:p w14:paraId="6F76C9C1" w14:textId="77777777" w:rsidR="00C87B7A" w:rsidRPr="00A36417" w:rsidRDefault="00C87B7A" w:rsidP="00C87B7A">
            <w:pPr>
              <w:jc w:val="both"/>
              <w:rPr>
                <w:rFonts w:asciiTheme="minorHAnsi" w:hAnsiTheme="minorHAnsi" w:cstheme="minorHAnsi"/>
                <w:color w:val="FF0000"/>
                <w:highlight w:val="yellow"/>
              </w:rPr>
            </w:pPr>
          </w:p>
        </w:tc>
        <w:tc>
          <w:tcPr>
            <w:tcW w:w="1601" w:type="dxa"/>
            <w:shd w:val="clear" w:color="auto" w:fill="B5C0D8"/>
          </w:tcPr>
          <w:p w14:paraId="3B26D871" w14:textId="7C55BC86" w:rsidR="00C87B7A" w:rsidRPr="00A36417" w:rsidRDefault="00C87B7A" w:rsidP="00C87B7A">
            <w:pPr>
              <w:rPr>
                <w:rFonts w:cs="Times New Roman"/>
                <w:highlight w:val="yellow"/>
              </w:rPr>
            </w:pPr>
            <w:r w:rsidRPr="00C87B7A">
              <w:rPr>
                <w:rFonts w:cs="Times New Roman"/>
              </w:rPr>
              <w:t>Izvršenje 2024.</w:t>
            </w:r>
          </w:p>
        </w:tc>
        <w:tc>
          <w:tcPr>
            <w:tcW w:w="1591" w:type="dxa"/>
            <w:shd w:val="clear" w:color="auto" w:fill="B5C0D8"/>
          </w:tcPr>
          <w:p w14:paraId="5C4A2D1B" w14:textId="0E8F6C8B" w:rsidR="00C87B7A" w:rsidRPr="00A36417" w:rsidRDefault="00C87B7A" w:rsidP="00C87B7A">
            <w:pPr>
              <w:rPr>
                <w:rFonts w:cs="Times New Roman"/>
                <w:highlight w:val="yellow"/>
              </w:rPr>
            </w:pPr>
            <w:r w:rsidRPr="00C87B7A">
              <w:rPr>
                <w:rFonts w:cs="Times New Roman"/>
              </w:rPr>
              <w:t>Plan 2025.</w:t>
            </w:r>
          </w:p>
        </w:tc>
        <w:tc>
          <w:tcPr>
            <w:tcW w:w="1601" w:type="dxa"/>
            <w:shd w:val="clear" w:color="auto" w:fill="B5C0D8"/>
          </w:tcPr>
          <w:p w14:paraId="24B15EA5" w14:textId="577F9373" w:rsidR="00C87B7A" w:rsidRPr="00A36417" w:rsidRDefault="00C87B7A" w:rsidP="00C87B7A">
            <w:pPr>
              <w:rPr>
                <w:rFonts w:cs="Times New Roman"/>
                <w:highlight w:val="yellow"/>
              </w:rPr>
            </w:pPr>
            <w:r w:rsidRPr="00C87B7A">
              <w:rPr>
                <w:rFonts w:cs="Times New Roman"/>
              </w:rPr>
              <w:t>Izvršenje 2025.</w:t>
            </w:r>
          </w:p>
        </w:tc>
        <w:tc>
          <w:tcPr>
            <w:tcW w:w="1608" w:type="dxa"/>
            <w:shd w:val="clear" w:color="auto" w:fill="B5C0D8"/>
          </w:tcPr>
          <w:p w14:paraId="4388A0C1" w14:textId="7E48AF64" w:rsidR="00C87B7A" w:rsidRPr="00A36417" w:rsidRDefault="00C87B7A" w:rsidP="00C87B7A">
            <w:pPr>
              <w:rPr>
                <w:rFonts w:cs="Times New Roman"/>
                <w:highlight w:val="yellow"/>
              </w:rPr>
            </w:pPr>
            <w:r w:rsidRPr="00C87B7A">
              <w:rPr>
                <w:rFonts w:cs="Times New Roman"/>
              </w:rPr>
              <w:t>Indeks izvršenja 2025./plan 2025.</w:t>
            </w:r>
          </w:p>
        </w:tc>
        <w:tc>
          <w:tcPr>
            <w:tcW w:w="1612" w:type="dxa"/>
            <w:shd w:val="clear" w:color="auto" w:fill="B5C0D8"/>
          </w:tcPr>
          <w:p w14:paraId="6B8BEA85" w14:textId="7CF82626" w:rsidR="00C87B7A" w:rsidRPr="00A36417" w:rsidRDefault="00C87B7A" w:rsidP="00C87B7A">
            <w:pPr>
              <w:rPr>
                <w:rFonts w:cs="Times New Roman"/>
                <w:highlight w:val="yellow"/>
              </w:rPr>
            </w:pPr>
            <w:r w:rsidRPr="00C87B7A">
              <w:rPr>
                <w:rFonts w:cs="Times New Roman"/>
              </w:rPr>
              <w:t>Indeks izvršenja 2025./2024.</w:t>
            </w:r>
          </w:p>
        </w:tc>
      </w:tr>
      <w:tr w:rsidR="003D15EB" w:rsidRPr="00A36417" w14:paraId="04A085D4" w14:textId="77777777" w:rsidTr="003D15EB">
        <w:trPr>
          <w:jc w:val="center"/>
        </w:trPr>
        <w:tc>
          <w:tcPr>
            <w:tcW w:w="1495" w:type="dxa"/>
          </w:tcPr>
          <w:p w14:paraId="7CDD55AD" w14:textId="77777777" w:rsidR="003D15EB" w:rsidRPr="009536C9" w:rsidRDefault="003D15EB" w:rsidP="007F610C">
            <w:pPr>
              <w:rPr>
                <w:rFonts w:cs="Times New Roman"/>
              </w:rPr>
            </w:pPr>
            <w:r w:rsidRPr="009536C9">
              <w:rPr>
                <w:rFonts w:cs="Times New Roman"/>
              </w:rPr>
              <w:t>08012</w:t>
            </w:r>
          </w:p>
        </w:tc>
        <w:tc>
          <w:tcPr>
            <w:tcW w:w="1601" w:type="dxa"/>
          </w:tcPr>
          <w:p w14:paraId="522CD22C" w14:textId="21C5C64D" w:rsidR="003D15EB" w:rsidRPr="009536C9" w:rsidRDefault="009536C9" w:rsidP="00073ED9">
            <w:pPr>
              <w:jc w:val="right"/>
              <w:rPr>
                <w:rFonts w:cs="Times New Roman"/>
              </w:rPr>
            </w:pPr>
            <w:r w:rsidRPr="009536C9">
              <w:rPr>
                <w:rFonts w:cs="Times New Roman"/>
              </w:rPr>
              <w:t>4</w:t>
            </w:r>
            <w:r w:rsidR="0085179E" w:rsidRPr="009536C9">
              <w:rPr>
                <w:rFonts w:cs="Times New Roman"/>
              </w:rPr>
              <w:t>.</w:t>
            </w:r>
            <w:r w:rsidRPr="009536C9">
              <w:rPr>
                <w:rFonts w:cs="Times New Roman"/>
              </w:rPr>
              <w:t>492</w:t>
            </w:r>
            <w:r w:rsidR="0085179E" w:rsidRPr="009536C9">
              <w:rPr>
                <w:rFonts w:cs="Times New Roman"/>
              </w:rPr>
              <w:t>.</w:t>
            </w:r>
            <w:r w:rsidRPr="009536C9">
              <w:rPr>
                <w:rFonts w:cs="Times New Roman"/>
              </w:rPr>
              <w:t>310</w:t>
            </w:r>
          </w:p>
        </w:tc>
        <w:tc>
          <w:tcPr>
            <w:tcW w:w="1591" w:type="dxa"/>
          </w:tcPr>
          <w:p w14:paraId="1C87B36F" w14:textId="5D1A90D7" w:rsidR="003D15EB" w:rsidRPr="009536C9" w:rsidRDefault="009536C9" w:rsidP="00073ED9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="0085179E" w:rsidRPr="009536C9">
              <w:rPr>
                <w:rFonts w:cs="Times New Roman"/>
              </w:rPr>
              <w:t>.</w:t>
            </w:r>
            <w:r>
              <w:rPr>
                <w:rFonts w:cs="Times New Roman"/>
              </w:rPr>
              <w:t>536</w:t>
            </w:r>
            <w:r w:rsidR="0085179E" w:rsidRPr="009536C9">
              <w:rPr>
                <w:rFonts w:cs="Times New Roman"/>
              </w:rPr>
              <w:t>.</w:t>
            </w:r>
            <w:r>
              <w:rPr>
                <w:rFonts w:cs="Times New Roman"/>
              </w:rPr>
              <w:t>536</w:t>
            </w:r>
          </w:p>
        </w:tc>
        <w:tc>
          <w:tcPr>
            <w:tcW w:w="1601" w:type="dxa"/>
          </w:tcPr>
          <w:p w14:paraId="1CFB6DD0" w14:textId="3406295B" w:rsidR="003D15EB" w:rsidRPr="009536C9" w:rsidRDefault="009536C9" w:rsidP="00073ED9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4.965.719</w:t>
            </w:r>
          </w:p>
        </w:tc>
        <w:tc>
          <w:tcPr>
            <w:tcW w:w="1608" w:type="dxa"/>
          </w:tcPr>
          <w:p w14:paraId="74B078C9" w14:textId="3BA7D10C" w:rsidR="003D15EB" w:rsidRPr="009536C9" w:rsidRDefault="009536C9" w:rsidP="00073ED9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89</w:t>
            </w:r>
            <w:r w:rsidR="008F0A10" w:rsidRPr="009536C9">
              <w:rPr>
                <w:rFonts w:cs="Times New Roman"/>
              </w:rPr>
              <w:t>,</w:t>
            </w:r>
            <w:r>
              <w:rPr>
                <w:rFonts w:cs="Times New Roman"/>
              </w:rPr>
              <w:t>7</w:t>
            </w:r>
          </w:p>
        </w:tc>
        <w:tc>
          <w:tcPr>
            <w:tcW w:w="1612" w:type="dxa"/>
          </w:tcPr>
          <w:p w14:paraId="3116A803" w14:textId="17049DAB" w:rsidR="003D15EB" w:rsidRPr="009536C9" w:rsidRDefault="00217B22" w:rsidP="00073ED9">
            <w:pPr>
              <w:jc w:val="right"/>
              <w:rPr>
                <w:rFonts w:cs="Times New Roman"/>
              </w:rPr>
            </w:pPr>
            <w:r w:rsidRPr="009536C9">
              <w:rPr>
                <w:rFonts w:cs="Times New Roman"/>
              </w:rPr>
              <w:t>1</w:t>
            </w:r>
            <w:r w:rsidR="009536C9">
              <w:rPr>
                <w:rFonts w:cs="Times New Roman"/>
              </w:rPr>
              <w:t>10</w:t>
            </w:r>
            <w:r w:rsidRPr="009536C9">
              <w:rPr>
                <w:rFonts w:cs="Times New Roman"/>
              </w:rPr>
              <w:t>,</w:t>
            </w:r>
            <w:r w:rsidR="009536C9">
              <w:rPr>
                <w:rFonts w:cs="Times New Roman"/>
              </w:rPr>
              <w:t>5</w:t>
            </w:r>
          </w:p>
        </w:tc>
      </w:tr>
    </w:tbl>
    <w:p w14:paraId="1D3ABE8E" w14:textId="77777777" w:rsidR="00BB70BF" w:rsidRPr="00A36417" w:rsidRDefault="00BB70BF" w:rsidP="007F610C">
      <w:pPr>
        <w:jc w:val="both"/>
        <w:rPr>
          <w:rFonts w:cstheme="minorHAnsi"/>
          <w:color w:val="FF0000"/>
          <w:highlight w:val="yellow"/>
        </w:rPr>
      </w:pPr>
    </w:p>
    <w:p w14:paraId="2530F1B6" w14:textId="77777777" w:rsidR="000060DD" w:rsidRPr="00A36417" w:rsidRDefault="000060DD" w:rsidP="00F51C89">
      <w:pPr>
        <w:jc w:val="both"/>
        <w:rPr>
          <w:rFonts w:cstheme="minorHAnsi"/>
          <w:color w:val="FF0000"/>
          <w:highlight w:val="yellow"/>
        </w:rPr>
      </w:pPr>
    </w:p>
    <w:p w14:paraId="61B58910" w14:textId="77777777" w:rsidR="00021B5C" w:rsidRPr="00A36417" w:rsidRDefault="00021B5C" w:rsidP="00F51C89">
      <w:pPr>
        <w:jc w:val="both"/>
        <w:rPr>
          <w:rFonts w:cstheme="minorHAnsi"/>
          <w:color w:val="FF0000"/>
          <w:highlight w:val="yellow"/>
        </w:rPr>
      </w:pPr>
    </w:p>
    <w:p w14:paraId="71AD0B53" w14:textId="77777777" w:rsidR="00BB70BF" w:rsidRPr="009536C9" w:rsidRDefault="00BB70BF" w:rsidP="007F610C">
      <w:pPr>
        <w:pStyle w:val="Heading3"/>
        <w:rPr>
          <w:rFonts w:cs="Times New Roman"/>
          <w:lang w:val="hr-HR"/>
        </w:rPr>
      </w:pPr>
      <w:r w:rsidRPr="009536C9">
        <w:rPr>
          <w:rFonts w:cs="Times New Roman"/>
          <w:lang w:val="hr-HR"/>
        </w:rPr>
        <w:lastRenderedPageBreak/>
        <w:t>3801 ULAGANJE U ZNANSTVENO ISTRAŽIVAČKU DJELATNOST</w:t>
      </w:r>
    </w:p>
    <w:p w14:paraId="0C5822A0" w14:textId="77777777" w:rsidR="00021B5C" w:rsidRPr="009536C9" w:rsidRDefault="00021B5C" w:rsidP="00F815A6">
      <w:pPr>
        <w:jc w:val="both"/>
        <w:rPr>
          <w:rFonts w:cstheme="minorHAnsi"/>
          <w:color w:val="FF0000"/>
        </w:rPr>
      </w:pPr>
    </w:p>
    <w:tbl>
      <w:tblPr>
        <w:tblStyle w:val="StilTablice"/>
        <w:tblW w:w="9508" w:type="dxa"/>
        <w:jc w:val="center"/>
        <w:tblLook w:val="04A0" w:firstRow="1" w:lastRow="0" w:firstColumn="1" w:lastColumn="0" w:noHBand="0" w:noVBand="1"/>
      </w:tblPr>
      <w:tblGrid>
        <w:gridCol w:w="1500"/>
        <w:gridCol w:w="1608"/>
        <w:gridCol w:w="1600"/>
        <w:gridCol w:w="1600"/>
        <w:gridCol w:w="1600"/>
        <w:gridCol w:w="1600"/>
      </w:tblGrid>
      <w:tr w:rsidR="00C87B7A" w:rsidRPr="009536C9" w14:paraId="455B58AF" w14:textId="77777777" w:rsidTr="003D15EB">
        <w:trPr>
          <w:jc w:val="center"/>
        </w:trPr>
        <w:tc>
          <w:tcPr>
            <w:tcW w:w="1500" w:type="dxa"/>
            <w:shd w:val="clear" w:color="auto" w:fill="B5C0D8"/>
          </w:tcPr>
          <w:p w14:paraId="2C35189C" w14:textId="77777777" w:rsidR="00C87B7A" w:rsidRPr="009536C9" w:rsidRDefault="00C87B7A" w:rsidP="00C87B7A">
            <w:pPr>
              <w:jc w:val="both"/>
              <w:rPr>
                <w:rFonts w:cs="Times New Roman"/>
                <w:color w:val="FF0000"/>
              </w:rPr>
            </w:pPr>
          </w:p>
          <w:p w14:paraId="169862C5" w14:textId="77777777" w:rsidR="00C87B7A" w:rsidRPr="009536C9" w:rsidRDefault="00C87B7A" w:rsidP="00C87B7A">
            <w:pPr>
              <w:jc w:val="both"/>
              <w:rPr>
                <w:rFonts w:cs="Times New Roman"/>
                <w:color w:val="FF0000"/>
              </w:rPr>
            </w:pPr>
          </w:p>
        </w:tc>
        <w:tc>
          <w:tcPr>
            <w:tcW w:w="1608" w:type="dxa"/>
            <w:shd w:val="clear" w:color="auto" w:fill="B5C0D8"/>
          </w:tcPr>
          <w:p w14:paraId="6F11DD88" w14:textId="3AA9C352" w:rsidR="00C87B7A" w:rsidRPr="009536C9" w:rsidRDefault="00C87B7A" w:rsidP="00C87B7A">
            <w:pPr>
              <w:rPr>
                <w:rFonts w:cs="Times New Roman"/>
                <w:color w:val="FF0000"/>
              </w:rPr>
            </w:pPr>
            <w:r w:rsidRPr="009536C9">
              <w:rPr>
                <w:rFonts w:cs="Times New Roman"/>
              </w:rPr>
              <w:t>Izvršenje 2024.</w:t>
            </w:r>
          </w:p>
        </w:tc>
        <w:tc>
          <w:tcPr>
            <w:tcW w:w="1600" w:type="dxa"/>
            <w:shd w:val="clear" w:color="auto" w:fill="B5C0D8"/>
          </w:tcPr>
          <w:p w14:paraId="1B6C8C91" w14:textId="113AF2D5" w:rsidR="00C87B7A" w:rsidRPr="009536C9" w:rsidRDefault="00C87B7A" w:rsidP="00C87B7A">
            <w:pPr>
              <w:rPr>
                <w:rFonts w:cs="Times New Roman"/>
                <w:color w:val="FF0000"/>
              </w:rPr>
            </w:pPr>
            <w:r w:rsidRPr="009536C9">
              <w:rPr>
                <w:rFonts w:cs="Times New Roman"/>
              </w:rPr>
              <w:t>Plan 2025.</w:t>
            </w:r>
          </w:p>
        </w:tc>
        <w:tc>
          <w:tcPr>
            <w:tcW w:w="1600" w:type="dxa"/>
            <w:shd w:val="clear" w:color="auto" w:fill="B5C0D8"/>
          </w:tcPr>
          <w:p w14:paraId="2E59485B" w14:textId="3732E3EB" w:rsidR="00C87B7A" w:rsidRPr="009536C9" w:rsidRDefault="00C87B7A" w:rsidP="00C87B7A">
            <w:pPr>
              <w:rPr>
                <w:rFonts w:cs="Times New Roman"/>
                <w:color w:val="FF0000"/>
              </w:rPr>
            </w:pPr>
            <w:r w:rsidRPr="009536C9">
              <w:rPr>
                <w:rFonts w:cs="Times New Roman"/>
              </w:rPr>
              <w:t>Izvršenje 2025.</w:t>
            </w:r>
          </w:p>
        </w:tc>
        <w:tc>
          <w:tcPr>
            <w:tcW w:w="1600" w:type="dxa"/>
            <w:shd w:val="clear" w:color="auto" w:fill="B5C0D8"/>
          </w:tcPr>
          <w:p w14:paraId="32398EF2" w14:textId="5FC53D84" w:rsidR="00C87B7A" w:rsidRPr="009536C9" w:rsidRDefault="00C87B7A" w:rsidP="00C87B7A">
            <w:pPr>
              <w:rPr>
                <w:rFonts w:cs="Times New Roman"/>
                <w:color w:val="FF0000"/>
              </w:rPr>
            </w:pPr>
            <w:r w:rsidRPr="009536C9">
              <w:rPr>
                <w:rFonts w:cs="Times New Roman"/>
              </w:rPr>
              <w:t>Indeks izvršenja 2025./plan 2025.</w:t>
            </w:r>
          </w:p>
        </w:tc>
        <w:tc>
          <w:tcPr>
            <w:tcW w:w="1600" w:type="dxa"/>
            <w:shd w:val="clear" w:color="auto" w:fill="B5C0D8"/>
          </w:tcPr>
          <w:p w14:paraId="652DA31E" w14:textId="24FEEF50" w:rsidR="00C87B7A" w:rsidRPr="009536C9" w:rsidRDefault="00C87B7A" w:rsidP="00C87B7A">
            <w:pPr>
              <w:rPr>
                <w:rFonts w:cs="Times New Roman"/>
                <w:color w:val="FF0000"/>
              </w:rPr>
            </w:pPr>
            <w:r w:rsidRPr="009536C9">
              <w:rPr>
                <w:rFonts w:cs="Times New Roman"/>
              </w:rPr>
              <w:t>Indeks izvršenja 2025./2024.</w:t>
            </w:r>
          </w:p>
        </w:tc>
      </w:tr>
      <w:tr w:rsidR="009536C9" w:rsidRPr="00A36417" w14:paraId="74651893" w14:textId="77777777" w:rsidTr="003D15EB">
        <w:trPr>
          <w:jc w:val="center"/>
        </w:trPr>
        <w:tc>
          <w:tcPr>
            <w:tcW w:w="1500" w:type="dxa"/>
          </w:tcPr>
          <w:p w14:paraId="5C65F95B" w14:textId="77777777" w:rsidR="009536C9" w:rsidRPr="009536C9" w:rsidRDefault="009536C9" w:rsidP="009536C9">
            <w:pPr>
              <w:rPr>
                <w:rFonts w:cs="Times New Roman"/>
              </w:rPr>
            </w:pPr>
            <w:r w:rsidRPr="009536C9">
              <w:rPr>
                <w:rFonts w:cs="Times New Roman"/>
              </w:rPr>
              <w:t>3801</w:t>
            </w:r>
          </w:p>
        </w:tc>
        <w:tc>
          <w:tcPr>
            <w:tcW w:w="1608" w:type="dxa"/>
          </w:tcPr>
          <w:p w14:paraId="4F1BF259" w14:textId="18EC983C" w:rsidR="009536C9" w:rsidRPr="009536C9" w:rsidRDefault="009536C9" w:rsidP="009536C9">
            <w:pPr>
              <w:jc w:val="right"/>
              <w:rPr>
                <w:rFonts w:cs="Times New Roman"/>
              </w:rPr>
            </w:pPr>
            <w:r w:rsidRPr="009536C9">
              <w:rPr>
                <w:rFonts w:cs="Times New Roman"/>
              </w:rPr>
              <w:t>4.492.310</w:t>
            </w:r>
          </w:p>
        </w:tc>
        <w:tc>
          <w:tcPr>
            <w:tcW w:w="1600" w:type="dxa"/>
          </w:tcPr>
          <w:p w14:paraId="7E2D1572" w14:textId="5184853A" w:rsidR="009536C9" w:rsidRPr="009536C9" w:rsidRDefault="009536C9" w:rsidP="009536C9">
            <w:pPr>
              <w:jc w:val="right"/>
              <w:rPr>
                <w:rFonts w:cs="Times New Roman"/>
                <w:color w:val="FF0000"/>
              </w:rPr>
            </w:pPr>
            <w:r>
              <w:rPr>
                <w:rFonts w:cs="Times New Roman"/>
              </w:rPr>
              <w:t>5</w:t>
            </w:r>
            <w:r w:rsidRPr="009536C9">
              <w:rPr>
                <w:rFonts w:cs="Times New Roman"/>
              </w:rPr>
              <w:t>.</w:t>
            </w:r>
            <w:r>
              <w:rPr>
                <w:rFonts w:cs="Times New Roman"/>
              </w:rPr>
              <w:t>536</w:t>
            </w:r>
            <w:r w:rsidRPr="009536C9">
              <w:rPr>
                <w:rFonts w:cs="Times New Roman"/>
              </w:rPr>
              <w:t>.</w:t>
            </w:r>
            <w:r>
              <w:rPr>
                <w:rFonts w:cs="Times New Roman"/>
              </w:rPr>
              <w:t>536</w:t>
            </w:r>
          </w:p>
        </w:tc>
        <w:tc>
          <w:tcPr>
            <w:tcW w:w="1600" w:type="dxa"/>
          </w:tcPr>
          <w:p w14:paraId="229CC3CE" w14:textId="3A628149" w:rsidR="009536C9" w:rsidRPr="009536C9" w:rsidRDefault="009536C9" w:rsidP="009536C9">
            <w:pPr>
              <w:jc w:val="right"/>
              <w:rPr>
                <w:rFonts w:cs="Times New Roman"/>
                <w:color w:val="FF0000"/>
              </w:rPr>
            </w:pPr>
            <w:r>
              <w:rPr>
                <w:rFonts w:cs="Times New Roman"/>
              </w:rPr>
              <w:t>4.965.719</w:t>
            </w:r>
          </w:p>
        </w:tc>
        <w:tc>
          <w:tcPr>
            <w:tcW w:w="1600" w:type="dxa"/>
          </w:tcPr>
          <w:p w14:paraId="73108662" w14:textId="4ABF610D" w:rsidR="009536C9" w:rsidRPr="009536C9" w:rsidRDefault="009536C9" w:rsidP="009536C9">
            <w:pPr>
              <w:jc w:val="right"/>
              <w:rPr>
                <w:rFonts w:cs="Times New Roman"/>
                <w:color w:val="FF0000"/>
              </w:rPr>
            </w:pPr>
            <w:r>
              <w:rPr>
                <w:rFonts w:cs="Times New Roman"/>
              </w:rPr>
              <w:t>89</w:t>
            </w:r>
            <w:r w:rsidRPr="009536C9">
              <w:rPr>
                <w:rFonts w:cs="Times New Roman"/>
              </w:rPr>
              <w:t>,</w:t>
            </w:r>
            <w:r>
              <w:rPr>
                <w:rFonts w:cs="Times New Roman"/>
              </w:rPr>
              <w:t>7</w:t>
            </w:r>
          </w:p>
        </w:tc>
        <w:tc>
          <w:tcPr>
            <w:tcW w:w="1600" w:type="dxa"/>
          </w:tcPr>
          <w:p w14:paraId="5C00418E" w14:textId="7A85782C" w:rsidR="009536C9" w:rsidRPr="009536C9" w:rsidRDefault="009536C9" w:rsidP="009536C9">
            <w:pPr>
              <w:jc w:val="right"/>
              <w:rPr>
                <w:rFonts w:cs="Times New Roman"/>
                <w:color w:val="FF0000"/>
              </w:rPr>
            </w:pPr>
            <w:r w:rsidRPr="009536C9">
              <w:rPr>
                <w:rFonts w:cs="Times New Roman"/>
              </w:rPr>
              <w:t>1</w:t>
            </w:r>
            <w:r>
              <w:rPr>
                <w:rFonts w:cs="Times New Roman"/>
              </w:rPr>
              <w:t>10</w:t>
            </w:r>
            <w:r w:rsidRPr="009536C9">
              <w:rPr>
                <w:rFonts w:cs="Times New Roman"/>
              </w:rPr>
              <w:t>,</w:t>
            </w:r>
            <w:r>
              <w:rPr>
                <w:rFonts w:cs="Times New Roman"/>
              </w:rPr>
              <w:t>5</w:t>
            </w:r>
          </w:p>
        </w:tc>
      </w:tr>
    </w:tbl>
    <w:p w14:paraId="32F0A07E" w14:textId="77777777" w:rsidR="0029177C" w:rsidRPr="00A36417" w:rsidRDefault="0029177C" w:rsidP="0029177C">
      <w:pPr>
        <w:pStyle w:val="Heading8"/>
        <w:rPr>
          <w:color w:val="FF0000"/>
          <w:highlight w:val="yellow"/>
        </w:rPr>
      </w:pPr>
    </w:p>
    <w:p w14:paraId="4D3AA512" w14:textId="11B04917" w:rsidR="0029177C" w:rsidRPr="004D730C" w:rsidRDefault="0029177C" w:rsidP="00AA4EFD">
      <w:pPr>
        <w:pStyle w:val="Heading8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D730C">
        <w:rPr>
          <w:rFonts w:ascii="Times New Roman" w:hAnsi="Times New Roman" w:cs="Times New Roman"/>
          <w:b/>
          <w:bCs/>
          <w:color w:val="auto"/>
          <w:sz w:val="24"/>
          <w:szCs w:val="24"/>
        </w:rPr>
        <w:t>Cilj 1. Povećati kvalitetu i učinkovitost sustava zaštite prava industrijskog vlasništva</w:t>
      </w:r>
    </w:p>
    <w:p w14:paraId="5DDB8C10" w14:textId="6F326507" w:rsidR="0029177C" w:rsidRPr="004D730C" w:rsidRDefault="0029177C" w:rsidP="00AA4EFD">
      <w:pPr>
        <w:pStyle w:val="Heading8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D730C">
        <w:rPr>
          <w:rFonts w:ascii="Times New Roman" w:hAnsi="Times New Roman" w:cs="Times New Roman"/>
          <w:b/>
          <w:bCs/>
          <w:color w:val="auto"/>
          <w:sz w:val="24"/>
          <w:szCs w:val="24"/>
        </w:rPr>
        <w:t>Opis provedbe cilja programa</w:t>
      </w:r>
    </w:p>
    <w:p w14:paraId="2254D8CD" w14:textId="77777777" w:rsidR="00B141B6" w:rsidRPr="00A36417" w:rsidRDefault="00B141B6" w:rsidP="00F613D4">
      <w:pPr>
        <w:rPr>
          <w:highlight w:val="yellow"/>
        </w:rPr>
      </w:pPr>
    </w:p>
    <w:p w14:paraId="17131E4C" w14:textId="7D651516" w:rsidR="00625801" w:rsidRPr="00625801" w:rsidRDefault="00625801" w:rsidP="003108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Provedba ovog cilja ostvarena je daljnjim razvojem </w:t>
      </w:r>
      <w:r w:rsidR="00465E05">
        <w:rPr>
          <w:rFonts w:ascii="Times New Roman" w:hAnsi="Times New Roman" w:cs="Times New Roman"/>
          <w:sz w:val="24"/>
          <w:szCs w:val="24"/>
        </w:rPr>
        <w:t>pravnog</w:t>
      </w:r>
      <w:r>
        <w:rPr>
          <w:rFonts w:ascii="Times New Roman" w:hAnsi="Times New Roman" w:cs="Times New Roman"/>
          <w:sz w:val="24"/>
          <w:szCs w:val="24"/>
        </w:rPr>
        <w:t xml:space="preserve"> okvira sustava zaštite industrijskog vlasništva, povećanjem kvalitete i učinkovitosti postupaka za priznanje odnosno registraciju industrijskog vlasništva putem unaprjeđenja i digitalne transformacije odgovarajućih poslovnih procesa te stručnog usavršavanja zaposlenika. </w:t>
      </w:r>
    </w:p>
    <w:p w14:paraId="14D6B90D" w14:textId="7EC63644" w:rsidR="00465E05" w:rsidRPr="00465E05" w:rsidRDefault="00625801" w:rsidP="003255E2">
      <w:pPr>
        <w:jc w:val="both"/>
        <w:rPr>
          <w:rFonts w:ascii="Times New Roman" w:hAnsi="Times New Roman" w:cs="Times New Roman"/>
          <w:sz w:val="24"/>
          <w:szCs w:val="24"/>
        </w:rPr>
      </w:pPr>
      <w:r w:rsidRPr="007D5ABF">
        <w:rPr>
          <w:rFonts w:ascii="Times New Roman" w:hAnsi="Times New Roman" w:cs="Times New Roman"/>
          <w:sz w:val="24"/>
          <w:szCs w:val="24"/>
        </w:rPr>
        <w:t xml:space="preserve">U pogledu </w:t>
      </w:r>
      <w:r w:rsidR="00465E05">
        <w:rPr>
          <w:rFonts w:ascii="Times New Roman" w:hAnsi="Times New Roman" w:cs="Times New Roman"/>
          <w:sz w:val="24"/>
          <w:szCs w:val="24"/>
        </w:rPr>
        <w:t xml:space="preserve">razvoja </w:t>
      </w:r>
      <w:r w:rsidRPr="007D5ABF">
        <w:rPr>
          <w:rFonts w:ascii="Times New Roman" w:hAnsi="Times New Roman" w:cs="Times New Roman"/>
          <w:sz w:val="24"/>
          <w:szCs w:val="24"/>
        </w:rPr>
        <w:t>pravnog okvira sustava zaštite intelektualnog vlasništva</w:t>
      </w:r>
      <w:r w:rsidR="00465E05">
        <w:rPr>
          <w:rFonts w:ascii="Times New Roman" w:hAnsi="Times New Roman" w:cs="Times New Roman"/>
          <w:sz w:val="24"/>
          <w:szCs w:val="24"/>
        </w:rPr>
        <w:t xml:space="preserve"> u 2025. godini</w:t>
      </w:r>
      <w:r w:rsidR="00465E05" w:rsidRPr="00465E05">
        <w:rPr>
          <w:rFonts w:ascii="Times New Roman" w:hAnsi="Times New Roman" w:cs="Times New Roman"/>
          <w:sz w:val="24"/>
          <w:szCs w:val="24"/>
        </w:rPr>
        <w:t xml:space="preserve"> je donesen Zakon o zaštiti oznaka zemljopisnog podrijetla za obrtničke i industrijske proizvode („Narodne novine“, br. 136/25) kojim se na nacionalnoj razini provodi Uredba 2023/2411 o zaštiti oznaka zemljopisnog podrijetla za obrtničke i industrijske proizvode</w:t>
      </w:r>
      <w:r w:rsidR="00465E05">
        <w:rPr>
          <w:rFonts w:ascii="Times New Roman" w:hAnsi="Times New Roman" w:cs="Times New Roman"/>
          <w:sz w:val="24"/>
          <w:szCs w:val="24"/>
        </w:rPr>
        <w:t>. Ovom Uredbom se</w:t>
      </w:r>
      <w:r w:rsidR="00465E05" w:rsidRPr="00465E05">
        <w:rPr>
          <w:rFonts w:ascii="Times New Roman" w:hAnsi="Times New Roman" w:cs="Times New Roman"/>
          <w:sz w:val="24"/>
          <w:szCs w:val="24"/>
        </w:rPr>
        <w:t xml:space="preserve"> uvodi </w:t>
      </w:r>
      <w:r w:rsidR="00465E05">
        <w:rPr>
          <w:rFonts w:ascii="Times New Roman" w:hAnsi="Times New Roman" w:cs="Times New Roman"/>
          <w:sz w:val="24"/>
          <w:szCs w:val="24"/>
        </w:rPr>
        <w:t xml:space="preserve">novi </w:t>
      </w:r>
      <w:r w:rsidR="00465E05" w:rsidRPr="00465E05">
        <w:rPr>
          <w:rFonts w:ascii="Times New Roman" w:hAnsi="Times New Roman" w:cs="Times New Roman"/>
          <w:sz w:val="24"/>
          <w:szCs w:val="24"/>
        </w:rPr>
        <w:t>jedinstveni sustav zaštite ovih oznaka za cijelu Europsku uniju umjesto dosadašnjih nacionalnih sustava.</w:t>
      </w:r>
      <w:r w:rsidR="00465E05" w:rsidRPr="00465E05">
        <w:t xml:space="preserve"> </w:t>
      </w:r>
      <w:r w:rsidR="00465E05">
        <w:rPr>
          <w:rFonts w:ascii="Times New Roman" w:hAnsi="Times New Roman" w:cs="Times New Roman"/>
          <w:sz w:val="24"/>
          <w:szCs w:val="24"/>
        </w:rPr>
        <w:t>Navedeni n</w:t>
      </w:r>
      <w:r w:rsidR="00465E05" w:rsidRPr="00465E05">
        <w:rPr>
          <w:rFonts w:ascii="Times New Roman" w:hAnsi="Times New Roman" w:cs="Times New Roman"/>
          <w:sz w:val="24"/>
          <w:szCs w:val="24"/>
        </w:rPr>
        <w:t>ovi sustav omogućit će proizvođačima obrtničkih i industrijskih proizvoda kvaliteta kojih je bitno uvjetovana njihovim zemljopisnim porijeklom da lakše zaštite i provode prava iz registriranih oznaka zemljopisnog podrijetla na teritoriju cijele Europske unije, kao i na tržištima trećih zemalja.</w:t>
      </w:r>
    </w:p>
    <w:p w14:paraId="6AEBCFAF" w14:textId="0C7CB491" w:rsidR="00465E05" w:rsidRDefault="00465E05" w:rsidP="00465E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Također, </w:t>
      </w:r>
      <w:r w:rsidR="00625801" w:rsidRPr="007D5ABF">
        <w:rPr>
          <w:rFonts w:ascii="Times New Roman" w:hAnsi="Times New Roman" w:cs="Times New Roman"/>
          <w:sz w:val="24"/>
          <w:szCs w:val="24"/>
        </w:rPr>
        <w:t xml:space="preserve">donesen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625801" w:rsidRPr="001E023D">
        <w:rPr>
          <w:rFonts w:ascii="Times New Roman" w:hAnsi="Times New Roman" w:cs="Times New Roman"/>
          <w:sz w:val="24"/>
          <w:szCs w:val="24"/>
        </w:rPr>
        <w:t>Zakon o izmjenama i dopunama Zakona o zastupanju u području prava industrijskog vlasništva</w:t>
      </w:r>
      <w:r w:rsidR="00625801" w:rsidRPr="007D5ABF">
        <w:rPr>
          <w:rFonts w:ascii="Times New Roman" w:hAnsi="Times New Roman" w:cs="Times New Roman"/>
          <w:sz w:val="24"/>
          <w:szCs w:val="24"/>
        </w:rPr>
        <w:t xml:space="preserve"> (</w:t>
      </w:r>
      <w:r w:rsidR="00625801">
        <w:rPr>
          <w:rFonts w:ascii="Times New Roman" w:hAnsi="Times New Roman" w:cs="Times New Roman"/>
          <w:sz w:val="24"/>
          <w:szCs w:val="24"/>
        </w:rPr>
        <w:t>„</w:t>
      </w:r>
      <w:r w:rsidR="00625801" w:rsidRPr="007D5ABF">
        <w:rPr>
          <w:rFonts w:ascii="Times New Roman" w:hAnsi="Times New Roman" w:cs="Times New Roman"/>
          <w:sz w:val="24"/>
          <w:szCs w:val="24"/>
        </w:rPr>
        <w:t>Narodne novine</w:t>
      </w:r>
      <w:r w:rsidR="00625801">
        <w:rPr>
          <w:rFonts w:ascii="Times New Roman" w:hAnsi="Times New Roman" w:cs="Times New Roman"/>
          <w:sz w:val="24"/>
          <w:szCs w:val="24"/>
        </w:rPr>
        <w:t>“, br.</w:t>
      </w:r>
      <w:r w:rsidR="00625801" w:rsidRPr="007D5ABF">
        <w:rPr>
          <w:rFonts w:ascii="Times New Roman" w:hAnsi="Times New Roman" w:cs="Times New Roman"/>
          <w:sz w:val="24"/>
          <w:szCs w:val="24"/>
        </w:rPr>
        <w:t xml:space="preserve"> 17/25) radi usklađivanja s propisima EU-a iz područja reguliranih profesija te rezultatima pregovora za članstvo Republike Hrvatske u OECD-u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65E05">
        <w:t xml:space="preserve"> </w:t>
      </w:r>
      <w:r w:rsidRPr="003255E2">
        <w:rPr>
          <w:rFonts w:ascii="Times New Roman" w:hAnsi="Times New Roman" w:cs="Times New Roman"/>
          <w:sz w:val="24"/>
          <w:szCs w:val="24"/>
        </w:rPr>
        <w:t xml:space="preserve">Ovim izmjenama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465E05">
        <w:rPr>
          <w:rFonts w:ascii="Times New Roman" w:hAnsi="Times New Roman" w:cs="Times New Roman"/>
          <w:sz w:val="24"/>
          <w:szCs w:val="24"/>
        </w:rPr>
        <w:t>omogućuje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E05">
        <w:rPr>
          <w:rFonts w:ascii="Times New Roman" w:hAnsi="Times New Roman" w:cs="Times New Roman"/>
          <w:sz w:val="24"/>
          <w:szCs w:val="24"/>
        </w:rPr>
        <w:t xml:space="preserve">privremeno i povremeno pružanje usluga zastupanja pred DZIV-om patentnih zastupnika i zastupnika za žigove iz država Europskog gospodarskog prostora (EGP-a), bez obvezne registracije poslovnog </w:t>
      </w:r>
      <w:proofErr w:type="spellStart"/>
      <w:r w:rsidRPr="00465E05">
        <w:rPr>
          <w:rFonts w:ascii="Times New Roman" w:hAnsi="Times New Roman" w:cs="Times New Roman"/>
          <w:sz w:val="24"/>
          <w:szCs w:val="24"/>
        </w:rPr>
        <w:t>nastana</w:t>
      </w:r>
      <w:proofErr w:type="spellEnd"/>
      <w:r w:rsidRPr="00465E05">
        <w:rPr>
          <w:rFonts w:ascii="Times New Roman" w:hAnsi="Times New Roman" w:cs="Times New Roman"/>
          <w:sz w:val="24"/>
          <w:szCs w:val="24"/>
        </w:rPr>
        <w:t xml:space="preserve"> u Republici Hrvatskoj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65E05">
        <w:rPr>
          <w:rFonts w:ascii="Times New Roman" w:hAnsi="Times New Roman" w:cs="Times New Roman"/>
          <w:sz w:val="24"/>
          <w:szCs w:val="24"/>
        </w:rPr>
        <w:t>priznavanje kvalifikacija za zastupanje pred DZIV-om za patentne zastupnike i zastupnike za žigove stečene u drugoj državi članici EGP-a</w:t>
      </w:r>
      <w:r>
        <w:rPr>
          <w:rFonts w:ascii="Times New Roman" w:hAnsi="Times New Roman" w:cs="Times New Roman"/>
          <w:sz w:val="24"/>
          <w:szCs w:val="24"/>
        </w:rPr>
        <w:t xml:space="preserve">, kao i </w:t>
      </w:r>
      <w:r w:rsidRPr="00465E05">
        <w:rPr>
          <w:rFonts w:ascii="Times New Roman" w:hAnsi="Times New Roman" w:cs="Times New Roman"/>
          <w:sz w:val="24"/>
          <w:szCs w:val="24"/>
        </w:rPr>
        <w:t xml:space="preserve"> obavljanje djelatnosti patentnog zastupnika i zastupnika za žigove i osobama iz zemalja pristupnica Kodeksa o liberalizaciji OECD-a a koje nisu ujedno i članice EGP-a, pod jednakim uvjetima kao za osobe iz Republike Hrvatske.</w:t>
      </w:r>
    </w:p>
    <w:p w14:paraId="14E12D10" w14:textId="11BA352F" w:rsidR="00197ECB" w:rsidRPr="00C734C5" w:rsidRDefault="0029177C" w:rsidP="003108E1">
      <w:pPr>
        <w:jc w:val="both"/>
        <w:rPr>
          <w:rFonts w:ascii="Times New Roman" w:hAnsi="Times New Roman" w:cs="Times New Roman"/>
          <w:sz w:val="24"/>
          <w:szCs w:val="24"/>
        </w:rPr>
      </w:pPr>
      <w:r w:rsidRPr="007D5ABF">
        <w:rPr>
          <w:rFonts w:ascii="Times New Roman" w:hAnsi="Times New Roman" w:cs="Times New Roman"/>
          <w:sz w:val="24"/>
          <w:szCs w:val="24"/>
        </w:rPr>
        <w:t>Nakon što je u 2021. godini uveden sustav upravljanja kvalitetom u postupcima za priznanje prava industrijskog vlasništva, certificiran u skladu s normom ISO 9001</w:t>
      </w:r>
      <w:r w:rsidR="003108E1" w:rsidRPr="007D5ABF">
        <w:rPr>
          <w:rFonts w:ascii="Times New Roman" w:hAnsi="Times New Roman" w:cs="Times New Roman"/>
          <w:sz w:val="24"/>
          <w:szCs w:val="24"/>
        </w:rPr>
        <w:t xml:space="preserve">:2015, </w:t>
      </w:r>
      <w:r w:rsidR="00292978">
        <w:rPr>
          <w:rFonts w:ascii="Times New Roman" w:hAnsi="Times New Roman" w:cs="Times New Roman"/>
          <w:sz w:val="24"/>
          <w:szCs w:val="24"/>
        </w:rPr>
        <w:t>isti</w:t>
      </w:r>
      <w:r w:rsidR="00292978" w:rsidRPr="007D5ABF">
        <w:rPr>
          <w:rFonts w:ascii="Times New Roman" w:hAnsi="Times New Roman" w:cs="Times New Roman"/>
          <w:sz w:val="24"/>
          <w:szCs w:val="24"/>
        </w:rPr>
        <w:t xml:space="preserve"> </w:t>
      </w:r>
      <w:r w:rsidR="003108E1" w:rsidRPr="007D5ABF">
        <w:rPr>
          <w:rFonts w:ascii="Times New Roman" w:hAnsi="Times New Roman" w:cs="Times New Roman"/>
          <w:sz w:val="24"/>
          <w:szCs w:val="24"/>
        </w:rPr>
        <w:t>je kontinuirano razvijan i tijekom izvještajne godine</w:t>
      </w:r>
      <w:r w:rsidR="00292978">
        <w:rPr>
          <w:rFonts w:ascii="Times New Roman" w:hAnsi="Times New Roman" w:cs="Times New Roman"/>
          <w:sz w:val="24"/>
          <w:szCs w:val="24"/>
        </w:rPr>
        <w:t xml:space="preserve"> te je</w:t>
      </w:r>
      <w:r w:rsidR="003108E1" w:rsidRPr="007D5ABF">
        <w:rPr>
          <w:rFonts w:ascii="Times New Roman" w:hAnsi="Times New Roman" w:cs="Times New Roman"/>
          <w:sz w:val="24"/>
          <w:szCs w:val="24"/>
        </w:rPr>
        <w:t xml:space="preserve"> </w:t>
      </w:r>
      <w:r w:rsidR="00292978">
        <w:rPr>
          <w:rFonts w:ascii="Times New Roman" w:hAnsi="Times New Roman" w:cs="Times New Roman"/>
          <w:sz w:val="24"/>
          <w:szCs w:val="24"/>
        </w:rPr>
        <w:t>putem analize procesa i  razvoja poslovnih digitalnih alata</w:t>
      </w:r>
      <w:r w:rsidR="00292978" w:rsidRPr="007D5ABF">
        <w:rPr>
          <w:rFonts w:ascii="Times New Roman" w:hAnsi="Times New Roman" w:cs="Times New Roman"/>
          <w:sz w:val="24"/>
          <w:szCs w:val="24"/>
        </w:rPr>
        <w:t xml:space="preserve"> </w:t>
      </w:r>
      <w:r w:rsidR="003108E1" w:rsidRPr="007D5ABF">
        <w:rPr>
          <w:rFonts w:ascii="Times New Roman" w:hAnsi="Times New Roman" w:cs="Times New Roman"/>
          <w:sz w:val="24"/>
          <w:szCs w:val="24"/>
        </w:rPr>
        <w:t>unaprijeđen</w:t>
      </w:r>
      <w:r w:rsidR="00292978">
        <w:rPr>
          <w:rFonts w:ascii="Times New Roman" w:hAnsi="Times New Roman" w:cs="Times New Roman"/>
          <w:sz w:val="24"/>
          <w:szCs w:val="24"/>
        </w:rPr>
        <w:t>a učinkovitost</w:t>
      </w:r>
      <w:r w:rsidR="003108E1" w:rsidRPr="007D5ABF">
        <w:rPr>
          <w:rFonts w:ascii="Times New Roman" w:hAnsi="Times New Roman" w:cs="Times New Roman"/>
          <w:sz w:val="24"/>
          <w:szCs w:val="24"/>
        </w:rPr>
        <w:t xml:space="preserve"> provođenj</w:t>
      </w:r>
      <w:r w:rsidR="00A937F8">
        <w:rPr>
          <w:rFonts w:ascii="Times New Roman" w:hAnsi="Times New Roman" w:cs="Times New Roman"/>
          <w:sz w:val="24"/>
          <w:szCs w:val="24"/>
        </w:rPr>
        <w:t>a</w:t>
      </w:r>
      <w:r w:rsidR="003108E1" w:rsidRPr="007D5ABF">
        <w:rPr>
          <w:rFonts w:ascii="Times New Roman" w:hAnsi="Times New Roman" w:cs="Times New Roman"/>
          <w:sz w:val="24"/>
          <w:szCs w:val="24"/>
        </w:rPr>
        <w:t xml:space="preserve"> nacionalnih te necentraliziranih europskih i međunarodnih postupaka za priznanje odnosno registraciju prava intelektualnog (industrijskog) vlasništva na teritoriju Republike Hrvatske</w:t>
      </w:r>
      <w:r w:rsidR="00292978">
        <w:rPr>
          <w:rFonts w:ascii="Times New Roman" w:hAnsi="Times New Roman" w:cs="Times New Roman"/>
          <w:sz w:val="24"/>
          <w:szCs w:val="24"/>
        </w:rPr>
        <w:t xml:space="preserve">. Do kraja godine </w:t>
      </w:r>
      <w:r w:rsidR="00292978">
        <w:rPr>
          <w:rFonts w:ascii="Times New Roman" w:hAnsi="Times New Roman" w:cs="Times New Roman"/>
          <w:sz w:val="24"/>
          <w:szCs w:val="24"/>
        </w:rPr>
        <w:lastRenderedPageBreak/>
        <w:t>provedena je</w:t>
      </w:r>
      <w:r w:rsidR="00292978" w:rsidRPr="00292978">
        <w:rPr>
          <w:rFonts w:ascii="Times New Roman" w:hAnsi="Times New Roman" w:cs="Times New Roman"/>
          <w:sz w:val="24"/>
          <w:szCs w:val="24"/>
        </w:rPr>
        <w:t xml:space="preserve"> završna faza uspostave sustava za elektroničku dostavu strankama pismena iz postupaka DZIV-a putem osobnih i poslovnih korisničkih pretinaca u sustavu e-građani. Nakon uspješno provedenog pilot-projekta testiranja s velikim korisnicima do kraja  2025. godine, </w:t>
      </w:r>
      <w:r w:rsidR="001E023D">
        <w:rPr>
          <w:rFonts w:ascii="Times New Roman" w:hAnsi="Times New Roman" w:cs="Times New Roman"/>
          <w:sz w:val="24"/>
          <w:szCs w:val="24"/>
        </w:rPr>
        <w:t>u prvom tromjesečju</w:t>
      </w:r>
      <w:r w:rsidR="00292978" w:rsidRPr="00292978">
        <w:rPr>
          <w:rFonts w:ascii="Times New Roman" w:hAnsi="Times New Roman" w:cs="Times New Roman"/>
          <w:sz w:val="24"/>
          <w:szCs w:val="24"/>
        </w:rPr>
        <w:t xml:space="preserve"> 2026. godine započet će redovna elektronička dostava pismena svim strankama koje imaju </w:t>
      </w:r>
      <w:r w:rsidR="00292978" w:rsidRPr="00C734C5">
        <w:rPr>
          <w:rFonts w:ascii="Times New Roman" w:hAnsi="Times New Roman" w:cs="Times New Roman"/>
          <w:sz w:val="24"/>
          <w:szCs w:val="24"/>
        </w:rPr>
        <w:t>aktivan korisnički pretinac</w:t>
      </w:r>
      <w:r w:rsidR="00A937F8" w:rsidRPr="00C734C5">
        <w:rPr>
          <w:rFonts w:ascii="Times New Roman" w:hAnsi="Times New Roman" w:cs="Times New Roman"/>
          <w:sz w:val="24"/>
          <w:szCs w:val="24"/>
        </w:rPr>
        <w:t>, što će doprinijeti povećanju ukupne učinkovitosti postupaka priznanja odnosno registracije prava industrijskog vlasništva.</w:t>
      </w:r>
    </w:p>
    <w:p w14:paraId="2F971521" w14:textId="4C385039" w:rsidR="001E023D" w:rsidRPr="00C734C5" w:rsidRDefault="001E023D" w:rsidP="001E023D">
      <w:pPr>
        <w:jc w:val="both"/>
        <w:rPr>
          <w:rFonts w:ascii="Times New Roman" w:hAnsi="Times New Roman" w:cs="Times New Roman"/>
          <w:sz w:val="24"/>
          <w:szCs w:val="24"/>
        </w:rPr>
      </w:pPr>
      <w:r w:rsidRPr="00C734C5">
        <w:rPr>
          <w:rFonts w:ascii="Times New Roman" w:hAnsi="Times New Roman" w:cs="Times New Roman"/>
          <w:sz w:val="24"/>
          <w:szCs w:val="24"/>
        </w:rPr>
        <w:t xml:space="preserve">Kao rezultat </w:t>
      </w:r>
      <w:r w:rsidRPr="00C734C5">
        <w:rPr>
          <w:rFonts w:ascii="Times New Roman" w:hAnsi="Times New Roman" w:cs="Times New Roman"/>
          <w:sz w:val="24"/>
          <w:szCs w:val="24"/>
        </w:rPr>
        <w:t>aktivnosti na ostvarenju ovog cilja</w:t>
      </w:r>
      <w:r w:rsidR="00C734C5" w:rsidRPr="00C734C5">
        <w:rPr>
          <w:rFonts w:ascii="Times New Roman" w:hAnsi="Times New Roman" w:cs="Times New Roman"/>
          <w:sz w:val="24"/>
          <w:szCs w:val="24"/>
        </w:rPr>
        <w:t xml:space="preserve"> u 2025. godini zaprimljeno je ukupno </w:t>
      </w:r>
      <w:r w:rsidRPr="00C734C5">
        <w:rPr>
          <w:rFonts w:ascii="Times New Roman" w:hAnsi="Times New Roman" w:cs="Times New Roman"/>
          <w:sz w:val="24"/>
          <w:szCs w:val="24"/>
        </w:rPr>
        <w:t xml:space="preserve"> </w:t>
      </w:r>
      <w:r w:rsidR="00C734C5" w:rsidRPr="00C734C5">
        <w:rPr>
          <w:rFonts w:ascii="Times New Roman" w:hAnsi="Times New Roman" w:cs="Times New Roman"/>
          <w:sz w:val="24"/>
          <w:szCs w:val="24"/>
        </w:rPr>
        <w:t>5143</w:t>
      </w:r>
      <w:r w:rsidR="00C734C5" w:rsidRPr="00C734C5">
        <w:rPr>
          <w:rFonts w:ascii="Times New Roman" w:hAnsi="Times New Roman" w:cs="Times New Roman"/>
          <w:sz w:val="24"/>
          <w:szCs w:val="24"/>
        </w:rPr>
        <w:t xml:space="preserve"> zahtjeva za priznanje prava industrijskog vlasništva na području Republike Hrvatske </w:t>
      </w:r>
      <w:r w:rsidR="00C734C5" w:rsidRPr="00C734C5">
        <w:rPr>
          <w:rFonts w:ascii="Times New Roman" w:hAnsi="Times New Roman" w:cs="Times New Roman"/>
          <w:sz w:val="24"/>
          <w:szCs w:val="24"/>
        </w:rPr>
        <w:t>(bez prava koja vrijede za ukupno područje Europske unije)</w:t>
      </w:r>
      <w:r w:rsidR="00C734C5" w:rsidRPr="00C734C5">
        <w:rPr>
          <w:rFonts w:ascii="Times New Roman" w:hAnsi="Times New Roman" w:cs="Times New Roman"/>
          <w:sz w:val="24"/>
          <w:szCs w:val="24"/>
        </w:rPr>
        <w:t xml:space="preserve">,   </w:t>
      </w:r>
      <w:r w:rsidRPr="00C734C5">
        <w:rPr>
          <w:rFonts w:ascii="Times New Roman" w:hAnsi="Times New Roman" w:cs="Times New Roman"/>
          <w:sz w:val="24"/>
          <w:szCs w:val="24"/>
        </w:rPr>
        <w:t>na kraju 2025. godine na području</w:t>
      </w:r>
      <w:r w:rsidRPr="00C734C5">
        <w:rPr>
          <w:rFonts w:ascii="Times New Roman" w:hAnsi="Times New Roman" w:cs="Times New Roman"/>
          <w:sz w:val="24"/>
          <w:szCs w:val="24"/>
        </w:rPr>
        <w:t xml:space="preserve"> </w:t>
      </w:r>
      <w:r w:rsidRPr="00C734C5">
        <w:rPr>
          <w:rFonts w:ascii="Times New Roman" w:hAnsi="Times New Roman" w:cs="Times New Roman"/>
          <w:sz w:val="24"/>
          <w:szCs w:val="24"/>
        </w:rPr>
        <w:t>Republike Hrvatske (bez prava koja vrijede za ukupno područje Europske unije) u vrijednosti je bilo</w:t>
      </w:r>
      <w:r w:rsidRPr="00C734C5">
        <w:rPr>
          <w:rFonts w:ascii="Times New Roman" w:hAnsi="Times New Roman" w:cs="Times New Roman"/>
          <w:sz w:val="24"/>
          <w:szCs w:val="24"/>
        </w:rPr>
        <w:t xml:space="preserve"> </w:t>
      </w:r>
      <w:r w:rsidRPr="00C734C5">
        <w:rPr>
          <w:rFonts w:ascii="Times New Roman" w:hAnsi="Times New Roman" w:cs="Times New Roman"/>
          <w:sz w:val="24"/>
          <w:szCs w:val="24"/>
        </w:rPr>
        <w:t>13.582 patenata, 87.339 žigova i 2.476 industrijskih dizajna.</w:t>
      </w:r>
    </w:p>
    <w:p w14:paraId="03AB9A70" w14:textId="2E1CC450" w:rsidR="003108E1" w:rsidRPr="00C734C5" w:rsidRDefault="003108E1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102AD9A" w14:textId="77777777" w:rsidR="0029177C" w:rsidRPr="004D730C" w:rsidRDefault="0029177C" w:rsidP="00AA4EFD">
      <w:pPr>
        <w:pStyle w:val="Heading8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D730C">
        <w:rPr>
          <w:rFonts w:ascii="Times New Roman" w:hAnsi="Times New Roman" w:cs="Times New Roman"/>
          <w:b/>
          <w:bCs/>
          <w:color w:val="auto"/>
          <w:sz w:val="24"/>
          <w:szCs w:val="24"/>
        </w:rPr>
        <w:t>Cilj 2. Povećati kvalitetu i učinkovitost sustava zaštite autorskih i srodnih prava</w:t>
      </w:r>
    </w:p>
    <w:p w14:paraId="0ECADE3D" w14:textId="5FF23F61" w:rsidR="0029177C" w:rsidRPr="004D730C" w:rsidRDefault="0029177C" w:rsidP="00AA4EFD">
      <w:pPr>
        <w:pStyle w:val="Heading8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D730C">
        <w:rPr>
          <w:rFonts w:ascii="Times New Roman" w:hAnsi="Times New Roman" w:cs="Times New Roman"/>
          <w:b/>
          <w:bCs/>
          <w:color w:val="auto"/>
          <w:sz w:val="24"/>
          <w:szCs w:val="24"/>
        </w:rPr>
        <w:t>Opis provedbe cilja programa</w:t>
      </w:r>
    </w:p>
    <w:p w14:paraId="6B764A45" w14:textId="19DDC4E5" w:rsidR="00F613D4" w:rsidRPr="00A36417" w:rsidRDefault="00F613D4" w:rsidP="00F613D4">
      <w:pPr>
        <w:rPr>
          <w:highlight w:val="yellow"/>
        </w:rPr>
      </w:pPr>
    </w:p>
    <w:p w14:paraId="1B86B5F3" w14:textId="6CF9345C" w:rsidR="003A1DC6" w:rsidRPr="00BB041C" w:rsidRDefault="003A1DC6" w:rsidP="003A1DC6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BB041C">
        <w:rPr>
          <w:rFonts w:ascii="Times New Roman" w:hAnsi="Times New Roman" w:cs="Times New Roman"/>
          <w:sz w:val="24"/>
          <w:szCs w:val="24"/>
        </w:rPr>
        <w:t>Tijekom 202</w:t>
      </w:r>
      <w:r w:rsidR="009536C9" w:rsidRPr="00BB041C">
        <w:rPr>
          <w:rFonts w:ascii="Times New Roman" w:hAnsi="Times New Roman" w:cs="Times New Roman"/>
          <w:sz w:val="24"/>
          <w:szCs w:val="24"/>
        </w:rPr>
        <w:t>5</w:t>
      </w:r>
      <w:r w:rsidRPr="00BB041C">
        <w:rPr>
          <w:rFonts w:ascii="Times New Roman" w:hAnsi="Times New Roman" w:cs="Times New Roman"/>
          <w:sz w:val="24"/>
          <w:szCs w:val="24"/>
        </w:rPr>
        <w:t>. godine u području autorskog i srodnih prava obavljali su se stručni, administrativni</w:t>
      </w:r>
      <w:r w:rsidR="00444B10" w:rsidRPr="00BB041C">
        <w:rPr>
          <w:rFonts w:ascii="Times New Roman" w:hAnsi="Times New Roman" w:cs="Times New Roman"/>
          <w:sz w:val="24"/>
          <w:szCs w:val="24"/>
        </w:rPr>
        <w:t>, inspekcijski</w:t>
      </w:r>
      <w:r w:rsidRPr="00BB041C">
        <w:rPr>
          <w:rFonts w:ascii="Times New Roman" w:hAnsi="Times New Roman" w:cs="Times New Roman"/>
          <w:sz w:val="24"/>
          <w:szCs w:val="24"/>
        </w:rPr>
        <w:t xml:space="preserve"> i drugi poslovi vezani uz kvalitetno i učinkovito funkcioniranje i razvoj sustava zaštite autorskog i srodnih prava. </w:t>
      </w:r>
      <w:r w:rsidR="00A937F8">
        <w:rPr>
          <w:rFonts w:ascii="Times New Roman" w:hAnsi="Times New Roman" w:cs="Times New Roman"/>
          <w:sz w:val="24"/>
          <w:szCs w:val="24"/>
        </w:rPr>
        <w:t>P</w:t>
      </w:r>
      <w:r w:rsidRPr="00BB041C">
        <w:rPr>
          <w:rFonts w:ascii="Times New Roman" w:hAnsi="Times New Roman" w:cs="Times New Roman"/>
          <w:sz w:val="24"/>
          <w:szCs w:val="24"/>
        </w:rPr>
        <w:t xml:space="preserve">rovedeni su redovni inspekcijski nadzori nad radom organizacija za kolektivno ostvarivanje autorskih i srodnih prava, što je rezultiralo povećanjem učinkovitosti prikupljanja i raspodjele naknada nositeljima prava te većoj transparentnosti rada organizacija. </w:t>
      </w:r>
      <w:r w:rsidR="00444B10" w:rsidRPr="00BB041C">
        <w:rPr>
          <w:rFonts w:ascii="Times New Roman" w:hAnsi="Times New Roman" w:cs="Times New Roman"/>
          <w:sz w:val="24"/>
          <w:szCs w:val="24"/>
        </w:rPr>
        <w:t>Prov</w:t>
      </w:r>
      <w:r w:rsidR="001C59D0">
        <w:rPr>
          <w:rFonts w:ascii="Times New Roman" w:hAnsi="Times New Roman" w:cs="Times New Roman"/>
          <w:sz w:val="24"/>
          <w:szCs w:val="24"/>
        </w:rPr>
        <w:t xml:space="preserve">edene su brojne obrazovne aktivnosti iz područja autorskog i srodnih prava </w:t>
      </w:r>
      <w:r w:rsidRPr="00BB041C">
        <w:rPr>
          <w:rFonts w:ascii="Times New Roman" w:hAnsi="Times New Roman" w:cs="Times New Roman"/>
          <w:sz w:val="24"/>
          <w:szCs w:val="24"/>
        </w:rPr>
        <w:t>među dionicima sustava i općom javnosti</w:t>
      </w:r>
      <w:r w:rsidR="00444B10" w:rsidRPr="00BB041C">
        <w:rPr>
          <w:rFonts w:ascii="Times New Roman" w:hAnsi="Times New Roman" w:cs="Times New Roman"/>
          <w:sz w:val="24"/>
          <w:szCs w:val="24"/>
        </w:rPr>
        <w:t xml:space="preserve">, uz redovno pružanje stručne podrške </w:t>
      </w:r>
      <w:r w:rsidRPr="00BB041C">
        <w:rPr>
          <w:rFonts w:ascii="Times New Roman" w:hAnsi="Times New Roman" w:cs="Times New Roman"/>
          <w:sz w:val="24"/>
          <w:szCs w:val="24"/>
        </w:rPr>
        <w:t xml:space="preserve">  institucija</w:t>
      </w:r>
      <w:r w:rsidR="00444B10" w:rsidRPr="00BB041C">
        <w:rPr>
          <w:rFonts w:ascii="Times New Roman" w:hAnsi="Times New Roman" w:cs="Times New Roman"/>
          <w:sz w:val="24"/>
          <w:szCs w:val="24"/>
        </w:rPr>
        <w:t>ma</w:t>
      </w:r>
      <w:r w:rsidRPr="00BB041C">
        <w:rPr>
          <w:rFonts w:ascii="Times New Roman" w:hAnsi="Times New Roman" w:cs="Times New Roman"/>
          <w:sz w:val="24"/>
          <w:szCs w:val="24"/>
        </w:rPr>
        <w:t xml:space="preserve"> i organizacija</w:t>
      </w:r>
      <w:r w:rsidR="00444B10" w:rsidRPr="00BB041C">
        <w:rPr>
          <w:rFonts w:ascii="Times New Roman" w:hAnsi="Times New Roman" w:cs="Times New Roman"/>
          <w:sz w:val="24"/>
          <w:szCs w:val="24"/>
        </w:rPr>
        <w:t>ma</w:t>
      </w:r>
      <w:r w:rsidRPr="00BB041C">
        <w:rPr>
          <w:rFonts w:ascii="Times New Roman" w:hAnsi="Times New Roman" w:cs="Times New Roman"/>
          <w:sz w:val="24"/>
          <w:szCs w:val="24"/>
        </w:rPr>
        <w:t xml:space="preserve"> te  korisni</w:t>
      </w:r>
      <w:r w:rsidR="00444B10" w:rsidRPr="00BB041C">
        <w:rPr>
          <w:rFonts w:ascii="Times New Roman" w:hAnsi="Times New Roman" w:cs="Times New Roman"/>
          <w:sz w:val="24"/>
          <w:szCs w:val="24"/>
        </w:rPr>
        <w:t>cima sustava i građanima u pogledu tumačenja i primjene sustava zaštite autorskih i srodnih prava</w:t>
      </w:r>
      <w:r w:rsidR="002F42D2" w:rsidRPr="00BB041C">
        <w:rPr>
          <w:rFonts w:ascii="Times New Roman" w:hAnsi="Times New Roman" w:cs="Times New Roman"/>
          <w:sz w:val="24"/>
          <w:szCs w:val="24"/>
        </w:rPr>
        <w:t xml:space="preserve"> u konkretnim poslovnim i životnim situacijama</w:t>
      </w:r>
      <w:r w:rsidRPr="00BB041C">
        <w:rPr>
          <w:rFonts w:ascii="Times New Roman" w:hAnsi="Times New Roman" w:cs="Times New Roman"/>
          <w:sz w:val="24"/>
          <w:szCs w:val="24"/>
        </w:rPr>
        <w:t xml:space="preserve">. </w:t>
      </w:r>
      <w:r w:rsidR="00444B10" w:rsidRPr="00BB041C">
        <w:rPr>
          <w:rFonts w:ascii="Times New Roman" w:hAnsi="Times New Roman" w:cs="Times New Roman"/>
          <w:sz w:val="24"/>
          <w:szCs w:val="24"/>
        </w:rPr>
        <w:t xml:space="preserve">Provođene su i stručne </w:t>
      </w:r>
      <w:r w:rsidR="002F42D2" w:rsidRPr="00BB041C">
        <w:rPr>
          <w:rFonts w:ascii="Times New Roman" w:hAnsi="Times New Roman" w:cs="Times New Roman"/>
          <w:sz w:val="24"/>
          <w:szCs w:val="24"/>
        </w:rPr>
        <w:t xml:space="preserve"> aktivnosti u okviru europskih i međunarodnih poslova u području zaštite autorskih i srodnih prava u smislu razmjene stručnih informacija o pojedinim aspektima sustava zaštite i sudjelovanja na sastancima stručnih tijela EU-a radi daljnjeg</w:t>
      </w:r>
      <w:r w:rsidRPr="00BB041C">
        <w:rPr>
          <w:rFonts w:ascii="Times New Roman" w:hAnsi="Times New Roman" w:cs="Times New Roman"/>
          <w:sz w:val="24"/>
          <w:szCs w:val="24"/>
        </w:rPr>
        <w:t xml:space="preserve"> razvoj</w:t>
      </w:r>
      <w:r w:rsidR="002F42D2" w:rsidRPr="00BB041C">
        <w:rPr>
          <w:rFonts w:ascii="Times New Roman" w:hAnsi="Times New Roman" w:cs="Times New Roman"/>
          <w:sz w:val="24"/>
          <w:szCs w:val="24"/>
        </w:rPr>
        <w:t>a</w:t>
      </w:r>
      <w:r w:rsidRPr="00BB041C">
        <w:rPr>
          <w:rFonts w:ascii="Times New Roman" w:hAnsi="Times New Roman" w:cs="Times New Roman"/>
          <w:sz w:val="24"/>
          <w:szCs w:val="24"/>
        </w:rPr>
        <w:t xml:space="preserve"> sustava zaštite autorskih i srodnih prava u EU-u, uz praćenje zakonodavnih procesa u vezi propisa koji sadrže i određene aspekte povezane sa zaštitom autorskog i srodnih prava.</w:t>
      </w:r>
    </w:p>
    <w:p w14:paraId="19FEEC18" w14:textId="77777777" w:rsidR="003A1DC6" w:rsidRPr="00A36417" w:rsidRDefault="003A1DC6" w:rsidP="003A1DC6">
      <w:pPr>
        <w:rPr>
          <w:rFonts w:ascii="Calibri" w:hAnsi="Calibri" w:cs="Calibri"/>
          <w:highlight w:val="yellow"/>
        </w:rPr>
      </w:pPr>
    </w:p>
    <w:p w14:paraId="38DB7D78" w14:textId="77777777" w:rsidR="0029177C" w:rsidRPr="004D730C" w:rsidRDefault="0029177C" w:rsidP="00AA4EFD">
      <w:pPr>
        <w:pStyle w:val="Heading8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D730C">
        <w:rPr>
          <w:rFonts w:ascii="Times New Roman" w:hAnsi="Times New Roman" w:cs="Times New Roman"/>
          <w:b/>
          <w:bCs/>
          <w:color w:val="auto"/>
          <w:sz w:val="24"/>
          <w:szCs w:val="24"/>
        </w:rPr>
        <w:t>Cilj 3. Povećati učinkovitost sustava provedbe prava intelektualnog  vlasništva</w:t>
      </w:r>
    </w:p>
    <w:p w14:paraId="576934FE" w14:textId="340C37B2" w:rsidR="0029177C" w:rsidRPr="004D730C" w:rsidRDefault="0029177C" w:rsidP="00AA4EFD">
      <w:pPr>
        <w:pStyle w:val="Heading8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D730C">
        <w:rPr>
          <w:rFonts w:ascii="Times New Roman" w:hAnsi="Times New Roman" w:cs="Times New Roman"/>
          <w:b/>
          <w:bCs/>
          <w:color w:val="auto"/>
          <w:sz w:val="24"/>
          <w:szCs w:val="24"/>
        </w:rPr>
        <w:t>Opis provedbe cilja programa</w:t>
      </w:r>
    </w:p>
    <w:p w14:paraId="53C1809A" w14:textId="58DC32D4" w:rsidR="00F613D4" w:rsidRDefault="00F613D4" w:rsidP="00F613D4">
      <w:pPr>
        <w:rPr>
          <w:color w:val="FF0000"/>
        </w:rPr>
      </w:pPr>
    </w:p>
    <w:p w14:paraId="00B4B072" w14:textId="14F14CC7" w:rsidR="00E8515B" w:rsidRDefault="00BB041C" w:rsidP="003255E2">
      <w:pPr>
        <w:jc w:val="both"/>
        <w:rPr>
          <w:rFonts w:ascii="Times New Roman" w:hAnsi="Times New Roman" w:cs="Times New Roman"/>
          <w:sz w:val="24"/>
          <w:szCs w:val="24"/>
        </w:rPr>
      </w:pPr>
      <w:r w:rsidRPr="00B2143A">
        <w:rPr>
          <w:rFonts w:ascii="Times New Roman" w:hAnsi="Times New Roman" w:cs="Times New Roman"/>
          <w:sz w:val="24"/>
          <w:szCs w:val="24"/>
        </w:rPr>
        <w:t xml:space="preserve">U 2025. godini intenzivirane su aktivnosti međuresorne koordinacije za provedbu prava intelektualnog vlasništva, prvenstveno u području borbe protiv internetskog piratstva koje dionici iz privatnog sektora prepoznaju kao značajan problem i na nacionalnoj razini. </w:t>
      </w:r>
      <w:r w:rsidR="00F215F0">
        <w:rPr>
          <w:rFonts w:ascii="Times New Roman" w:hAnsi="Times New Roman" w:cs="Times New Roman"/>
          <w:sz w:val="24"/>
          <w:szCs w:val="24"/>
        </w:rPr>
        <w:t>S</w:t>
      </w:r>
      <w:r w:rsidR="004C09E6">
        <w:rPr>
          <w:rFonts w:ascii="Times New Roman" w:hAnsi="Times New Roman" w:cs="Times New Roman"/>
          <w:sz w:val="24"/>
          <w:szCs w:val="24"/>
        </w:rPr>
        <w:t xml:space="preserve">ukladno tome krug dionika međuresorne koordinacije proširen je uključivanjem </w:t>
      </w:r>
      <w:proofErr w:type="spellStart"/>
      <w:r w:rsidR="004C09E6">
        <w:rPr>
          <w:rFonts w:ascii="Times New Roman" w:hAnsi="Times New Roman" w:cs="Times New Roman"/>
          <w:sz w:val="24"/>
          <w:szCs w:val="24"/>
        </w:rPr>
        <w:t>n</w:t>
      </w:r>
      <w:r w:rsidR="00292978">
        <w:rPr>
          <w:rFonts w:ascii="Times New Roman" w:hAnsi="Times New Roman" w:cs="Times New Roman"/>
          <w:sz w:val="24"/>
          <w:szCs w:val="24"/>
        </w:rPr>
        <w:t>ajpogođenij</w:t>
      </w:r>
      <w:r w:rsidR="004C09E6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="00292978">
        <w:rPr>
          <w:rFonts w:ascii="Times New Roman" w:hAnsi="Times New Roman" w:cs="Times New Roman"/>
          <w:sz w:val="24"/>
          <w:szCs w:val="24"/>
        </w:rPr>
        <w:t xml:space="preserve"> </w:t>
      </w:r>
      <w:r w:rsidR="004C09E6">
        <w:rPr>
          <w:rFonts w:ascii="Times New Roman" w:hAnsi="Times New Roman" w:cs="Times New Roman"/>
          <w:sz w:val="24"/>
          <w:szCs w:val="24"/>
        </w:rPr>
        <w:t xml:space="preserve">dionika iz privatnog sektora te su u suradnji s njima ostvarene </w:t>
      </w:r>
      <w:r w:rsidR="00F215F0">
        <w:rPr>
          <w:rFonts w:ascii="Times New Roman" w:hAnsi="Times New Roman" w:cs="Times New Roman"/>
          <w:sz w:val="24"/>
          <w:szCs w:val="24"/>
        </w:rPr>
        <w:t xml:space="preserve">dodatne </w:t>
      </w:r>
      <w:r w:rsidR="004C09E6">
        <w:rPr>
          <w:rFonts w:ascii="Times New Roman" w:hAnsi="Times New Roman" w:cs="Times New Roman"/>
          <w:sz w:val="24"/>
          <w:szCs w:val="24"/>
        </w:rPr>
        <w:t xml:space="preserve">aktivnosti na javnom podizanju razine svijesti o društvenoj i gospodarskoj štetnosti digitalnog piratstva. Također inicirane su </w:t>
      </w:r>
      <w:r w:rsidR="004C09E6">
        <w:rPr>
          <w:rFonts w:ascii="Times New Roman" w:hAnsi="Times New Roman" w:cs="Times New Roman"/>
          <w:sz w:val="24"/>
          <w:szCs w:val="24"/>
        </w:rPr>
        <w:lastRenderedPageBreak/>
        <w:t xml:space="preserve">aktivnosti radi unaprjeđenja </w:t>
      </w:r>
      <w:r w:rsidRPr="00B2143A">
        <w:rPr>
          <w:rFonts w:ascii="Times New Roman" w:hAnsi="Times New Roman" w:cs="Times New Roman"/>
          <w:sz w:val="24"/>
          <w:szCs w:val="24"/>
        </w:rPr>
        <w:t xml:space="preserve"> međuresorne suradnje i u okviru provedbe Akta o digitalnim uslugama</w:t>
      </w:r>
      <w:r w:rsidR="007960BA">
        <w:rPr>
          <w:rFonts w:ascii="Times New Roman" w:hAnsi="Times New Roman" w:cs="Times New Roman"/>
          <w:sz w:val="24"/>
          <w:szCs w:val="24"/>
        </w:rPr>
        <w:t>, koji se odnosi i na digitalne povrede prava intelektualnog vlasništva</w:t>
      </w:r>
      <w:r w:rsidRPr="00B2143A">
        <w:rPr>
          <w:rFonts w:ascii="Times New Roman" w:hAnsi="Times New Roman" w:cs="Times New Roman"/>
          <w:sz w:val="24"/>
          <w:szCs w:val="24"/>
        </w:rPr>
        <w:t>.</w:t>
      </w:r>
    </w:p>
    <w:p w14:paraId="6FA7B0A7" w14:textId="32302721" w:rsidR="00E8515B" w:rsidRDefault="00E8515B" w:rsidP="003255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Dovršene su pripremne aktivnosti i ostvareno je priključivanje </w:t>
      </w:r>
      <w:r w:rsidR="00BB041C" w:rsidRPr="00B2143A">
        <w:rPr>
          <w:rFonts w:ascii="Times New Roman" w:hAnsi="Times New Roman" w:cs="Times New Roman"/>
          <w:sz w:val="24"/>
          <w:szCs w:val="24"/>
        </w:rPr>
        <w:t xml:space="preserve">Hrvatske portalu Europske unije </w:t>
      </w:r>
      <w:proofErr w:type="spellStart"/>
      <w:r w:rsidR="00BB041C" w:rsidRPr="00B2143A">
        <w:rPr>
          <w:rFonts w:ascii="Times New Roman" w:hAnsi="Times New Roman" w:cs="Times New Roman"/>
          <w:sz w:val="24"/>
          <w:szCs w:val="24"/>
        </w:rPr>
        <w:t>Agorateka</w:t>
      </w:r>
      <w:proofErr w:type="spellEnd"/>
      <w:r w:rsidR="00BB041C" w:rsidRPr="00B2143A">
        <w:rPr>
          <w:rFonts w:ascii="Times New Roman" w:hAnsi="Times New Roman" w:cs="Times New Roman"/>
          <w:sz w:val="24"/>
          <w:szCs w:val="24"/>
        </w:rPr>
        <w:t xml:space="preserve"> koji omogućuje jednostavan pregled i pristup zakonitim izvorima kulturnih i zabavnih digitalnih sadržaja u pojedinim državama članicama te tako potpomaže borbu protiv internetskog piratstva</w:t>
      </w:r>
      <w:r>
        <w:rPr>
          <w:rFonts w:ascii="Times New Roman" w:hAnsi="Times New Roman" w:cs="Times New Roman"/>
          <w:sz w:val="24"/>
          <w:szCs w:val="24"/>
        </w:rPr>
        <w:t>.</w:t>
      </w:r>
      <w:r w:rsidR="00F215F0">
        <w:rPr>
          <w:rFonts w:ascii="Times New Roman" w:hAnsi="Times New Roman" w:cs="Times New Roman"/>
          <w:sz w:val="24"/>
          <w:szCs w:val="24"/>
        </w:rPr>
        <w:t xml:space="preserve"> Tako od sada korisnici digitalnih sadržaja iz Hrvatske mogu putem </w:t>
      </w:r>
      <w:proofErr w:type="spellStart"/>
      <w:r w:rsidR="00F215F0">
        <w:rPr>
          <w:rFonts w:ascii="Times New Roman" w:hAnsi="Times New Roman" w:cs="Times New Roman"/>
          <w:sz w:val="24"/>
          <w:szCs w:val="24"/>
        </w:rPr>
        <w:t>Agorateke</w:t>
      </w:r>
      <w:proofErr w:type="spellEnd"/>
      <w:r w:rsidR="00F215F0">
        <w:rPr>
          <w:rFonts w:ascii="Times New Roman" w:hAnsi="Times New Roman" w:cs="Times New Roman"/>
          <w:sz w:val="24"/>
          <w:szCs w:val="24"/>
        </w:rPr>
        <w:t xml:space="preserve"> pronaći </w:t>
      </w:r>
      <w:r w:rsidR="00F215F0" w:rsidRPr="00B2143A">
        <w:rPr>
          <w:rFonts w:ascii="Times New Roman" w:hAnsi="Times New Roman" w:cs="Times New Roman"/>
          <w:sz w:val="24"/>
          <w:szCs w:val="24"/>
        </w:rPr>
        <w:t>zakonit</w:t>
      </w:r>
      <w:r w:rsidR="00F215F0">
        <w:rPr>
          <w:rFonts w:ascii="Times New Roman" w:hAnsi="Times New Roman" w:cs="Times New Roman"/>
          <w:sz w:val="24"/>
          <w:szCs w:val="24"/>
        </w:rPr>
        <w:t>e</w:t>
      </w:r>
      <w:r w:rsidR="00F215F0" w:rsidRPr="00B2143A">
        <w:rPr>
          <w:rFonts w:ascii="Times New Roman" w:hAnsi="Times New Roman" w:cs="Times New Roman"/>
          <w:sz w:val="24"/>
          <w:szCs w:val="24"/>
        </w:rPr>
        <w:t xml:space="preserve"> izvor</w:t>
      </w:r>
      <w:r w:rsidR="00F215F0">
        <w:rPr>
          <w:rFonts w:ascii="Times New Roman" w:hAnsi="Times New Roman" w:cs="Times New Roman"/>
          <w:sz w:val="24"/>
          <w:szCs w:val="24"/>
        </w:rPr>
        <w:t>e</w:t>
      </w:r>
      <w:r w:rsidR="00F215F0" w:rsidRPr="00B2143A">
        <w:rPr>
          <w:rFonts w:ascii="Times New Roman" w:hAnsi="Times New Roman" w:cs="Times New Roman"/>
          <w:sz w:val="24"/>
          <w:szCs w:val="24"/>
        </w:rPr>
        <w:t xml:space="preserve"> </w:t>
      </w:r>
      <w:r w:rsidR="00F215F0">
        <w:rPr>
          <w:rFonts w:ascii="Times New Roman" w:hAnsi="Times New Roman" w:cs="Times New Roman"/>
          <w:sz w:val="24"/>
          <w:szCs w:val="24"/>
        </w:rPr>
        <w:t>filmskih, televizijskih i drugih video sadržaje te sportskih</w:t>
      </w:r>
      <w:r w:rsidR="00F215F0" w:rsidRPr="00B2143A">
        <w:rPr>
          <w:rFonts w:ascii="Times New Roman" w:hAnsi="Times New Roman" w:cs="Times New Roman"/>
          <w:sz w:val="24"/>
          <w:szCs w:val="24"/>
        </w:rPr>
        <w:t xml:space="preserve"> digitalnih sadržaja</w:t>
      </w:r>
      <w:r w:rsidR="00F215F0">
        <w:rPr>
          <w:rFonts w:ascii="Times New Roman" w:hAnsi="Times New Roman" w:cs="Times New Roman"/>
          <w:sz w:val="24"/>
          <w:szCs w:val="24"/>
        </w:rPr>
        <w:t xml:space="preserve"> koji su dostupni na teritoriju Hrvatske, a u narednom razdoblju poveznice na zakonite izvore dalje će se proširivati sadržajima iz drugih područja kao što su glazba i knjige, kao i dodatnim zakonitim pružateljima  sadržaja iz svih područja.</w:t>
      </w:r>
    </w:p>
    <w:p w14:paraId="651BD294" w14:textId="7C59ED28" w:rsidR="00BB041C" w:rsidRDefault="00E8515B" w:rsidP="00A116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suradnji s Pravosudnom akademijom organiziran je redovni godišnji program stručnog usavršavanja pravosudnih djelatnika iz područja intelektualnog vlasništva, a organizirano je i njihovo sudjelovanje u odgovarajućim programima europskih i međunarodnih institucija za intelektualno vlasništvo. Također, u suradnji sa Žalbenim vijećima Ureda Europske unije za intelektualno vlasništvo </w:t>
      </w:r>
      <w:r w:rsidR="00F215F0">
        <w:rPr>
          <w:rFonts w:ascii="Times New Roman" w:hAnsi="Times New Roman" w:cs="Times New Roman"/>
          <w:sz w:val="24"/>
          <w:szCs w:val="24"/>
        </w:rPr>
        <w:t xml:space="preserve"> (EUIPO) </w:t>
      </w:r>
      <w:r>
        <w:rPr>
          <w:rFonts w:ascii="Times New Roman" w:hAnsi="Times New Roman" w:cs="Times New Roman"/>
          <w:sz w:val="24"/>
          <w:szCs w:val="24"/>
        </w:rPr>
        <w:t>organiziran je seminar za pravne stručnjake i pravosudne djelatnik</w:t>
      </w:r>
      <w:r w:rsidR="00F215F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iz područja intelektualnog vlasništva o aktualnim temama iz sudske prakse</w:t>
      </w:r>
      <w:r w:rsidR="00F215F0">
        <w:rPr>
          <w:rFonts w:ascii="Times New Roman" w:hAnsi="Times New Roman" w:cs="Times New Roman"/>
          <w:sz w:val="24"/>
          <w:szCs w:val="24"/>
        </w:rPr>
        <w:t xml:space="preserve"> EUIPO-a</w:t>
      </w:r>
      <w:r>
        <w:rPr>
          <w:rFonts w:ascii="Times New Roman" w:hAnsi="Times New Roman" w:cs="Times New Roman"/>
          <w:sz w:val="24"/>
          <w:szCs w:val="24"/>
        </w:rPr>
        <w:t xml:space="preserve">. Navedenim aktivnostima bilo je obuhvaćeno </w:t>
      </w:r>
      <w:r w:rsidR="007960BA">
        <w:rPr>
          <w:rFonts w:ascii="Times New Roman" w:hAnsi="Times New Roman" w:cs="Times New Roman"/>
          <w:sz w:val="24"/>
          <w:szCs w:val="24"/>
        </w:rPr>
        <w:t xml:space="preserve">ukupno </w:t>
      </w:r>
      <w:r>
        <w:rPr>
          <w:rFonts w:ascii="Times New Roman" w:hAnsi="Times New Roman" w:cs="Times New Roman"/>
          <w:sz w:val="24"/>
          <w:szCs w:val="24"/>
        </w:rPr>
        <w:t>107 pravosudn</w:t>
      </w:r>
      <w:r w:rsidR="00F215F0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djelatnik</w:t>
      </w:r>
      <w:r w:rsidR="00F215F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B0E174" w14:textId="77777777" w:rsidR="00A116A0" w:rsidRDefault="00A116A0" w:rsidP="00A116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Također, organizirana je radionica za udruge potrošača na temu piratstva i kupnje krivotvorenih proizvoda.</w:t>
      </w:r>
    </w:p>
    <w:p w14:paraId="2A973562" w14:textId="1A66456A" w:rsidR="00A116A0" w:rsidRPr="00B2143A" w:rsidRDefault="00A116A0" w:rsidP="003255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to, provođene su različite aktivnosti suradnje s Europskom promatračnicom za provedbu prava intelektualnog vlasništva, uključujući podizanje razine svijesti nacionalnih dionika o važnosti zaštite i provedbe intelektualnog vlasništva temeljem rezultata studija iz područja intelektualnog vlasništva provedenih u organizaciji Promatračnice. </w:t>
      </w:r>
    </w:p>
    <w:p w14:paraId="1296E3D5" w14:textId="6081B72B" w:rsidR="00BB041C" w:rsidRPr="004D730C" w:rsidRDefault="00BB041C" w:rsidP="003255E2">
      <w:pPr>
        <w:jc w:val="both"/>
        <w:rPr>
          <w:color w:val="FF0000"/>
        </w:rPr>
      </w:pPr>
    </w:p>
    <w:p w14:paraId="23B766CE" w14:textId="77777777" w:rsidR="0029177C" w:rsidRPr="004D730C" w:rsidRDefault="0029177C" w:rsidP="00AA4EFD">
      <w:pPr>
        <w:pStyle w:val="Heading8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D730C">
        <w:rPr>
          <w:rFonts w:ascii="Times New Roman" w:hAnsi="Times New Roman" w:cs="Times New Roman"/>
          <w:b/>
          <w:bCs/>
          <w:color w:val="auto"/>
          <w:sz w:val="24"/>
          <w:szCs w:val="24"/>
        </w:rPr>
        <w:t>Cilj 4. Povećati stupanj korištenja sustava zaštite intelektualnog vlasništva od strane domaćih subjekata</w:t>
      </w:r>
    </w:p>
    <w:p w14:paraId="4DEFB24B" w14:textId="416F8516" w:rsidR="0029177C" w:rsidRPr="00B2143A" w:rsidRDefault="0029177C" w:rsidP="00AA4EFD">
      <w:pPr>
        <w:pStyle w:val="Heading8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2143A">
        <w:rPr>
          <w:rFonts w:ascii="Times New Roman" w:hAnsi="Times New Roman" w:cs="Times New Roman"/>
          <w:b/>
          <w:bCs/>
          <w:color w:val="auto"/>
          <w:sz w:val="24"/>
          <w:szCs w:val="24"/>
        </w:rPr>
        <w:t>Opis provedbe cilja programa</w:t>
      </w:r>
    </w:p>
    <w:p w14:paraId="6E518178" w14:textId="32FFED96" w:rsidR="00F613D4" w:rsidRPr="00B2143A" w:rsidRDefault="00F613D4" w:rsidP="00F613D4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E94CC5C" w14:textId="26A69481" w:rsidR="00A116A0" w:rsidRDefault="00A116A0" w:rsidP="003255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2025. godini p</w:t>
      </w:r>
      <w:r w:rsidRPr="00B2143A">
        <w:rPr>
          <w:rFonts w:ascii="Times New Roman" w:hAnsi="Times New Roman" w:cs="Times New Roman"/>
          <w:sz w:val="24"/>
          <w:szCs w:val="24"/>
        </w:rPr>
        <w:t>roved</w:t>
      </w:r>
      <w:r>
        <w:rPr>
          <w:rFonts w:ascii="Times New Roman" w:hAnsi="Times New Roman" w:cs="Times New Roman"/>
          <w:sz w:val="24"/>
          <w:szCs w:val="24"/>
        </w:rPr>
        <w:t>ene su</w:t>
      </w:r>
      <w:r w:rsidRPr="00B2143A">
        <w:rPr>
          <w:rFonts w:ascii="Times New Roman" w:hAnsi="Times New Roman" w:cs="Times New Roman"/>
          <w:sz w:val="24"/>
          <w:szCs w:val="24"/>
        </w:rPr>
        <w:t xml:space="preserve"> mnogobrojn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B2143A" w:rsidRPr="00B2143A">
        <w:rPr>
          <w:rFonts w:ascii="Times New Roman" w:hAnsi="Times New Roman" w:cs="Times New Roman"/>
          <w:sz w:val="24"/>
          <w:szCs w:val="24"/>
        </w:rPr>
        <w:t>aktivnosti na jačanju kapaciteta domaćeg poduzetničkog i znanstvenoistraživačkog sektora za upravljanje intelektualnim vlasništvom, uz suradnju na komplementarnim aktivnostima europskih i međunarodnih organizacija u području intelektualnog vlasništva i domaćih poduzetničkih potpornih organizacija</w:t>
      </w:r>
      <w:r w:rsidR="007960BA">
        <w:rPr>
          <w:rFonts w:ascii="Times New Roman" w:hAnsi="Times New Roman" w:cs="Times New Roman"/>
          <w:sz w:val="24"/>
          <w:szCs w:val="24"/>
        </w:rPr>
        <w:t>. Najveći dio aktivnosti odnosi se na edukaciju i praktične radionice o različitim aspektima zaštite i upravljanja intelektualnim vlasništvom.</w:t>
      </w:r>
    </w:p>
    <w:p w14:paraId="3985DD97" w14:textId="4EC8E066" w:rsidR="00A116A0" w:rsidRPr="00A116A0" w:rsidRDefault="00A116A0" w:rsidP="003255E2">
      <w:pPr>
        <w:jc w:val="both"/>
        <w:rPr>
          <w:rFonts w:ascii="Times New Roman" w:hAnsi="Times New Roman" w:cs="Times New Roman"/>
          <w:sz w:val="24"/>
          <w:szCs w:val="24"/>
        </w:rPr>
      </w:pPr>
      <w:r w:rsidRPr="00A116A0">
        <w:rPr>
          <w:rFonts w:ascii="Times New Roman" w:hAnsi="Times New Roman" w:cs="Times New Roman"/>
          <w:sz w:val="24"/>
          <w:szCs w:val="24"/>
        </w:rPr>
        <w:t>Nastavljena je i financijska potpora malim i srednjim poduzećima putem vrijednosnih kupona (tzv. vaučera) za intelektualno vlasništvo u svrhu zaštite njihovih prava intelektualnog vlasništva, financiranih putem Fonda za mala i srednja poduzeća kao inicijative EU-a koju provodi Ured Europske unije za intelektualno vlasništvo u suradnji s nacionalnim uredima, uključujući DZIV za Republiku Hrvatsku. Tijekom 2025. godine odobreni su vaučeri  za 120 malih i srednjih poduzeća iz Hrvatske, u najvećem broju za zaštitu žiga Europske unije, te je temeljem vaučera isplaćena financijska pomoć hrvatskim malim i srednjim poduzećima u ukupnoj vrijednosti od 63,4 tisuće eura.</w:t>
      </w:r>
    </w:p>
    <w:p w14:paraId="33C07ADB" w14:textId="110AF332" w:rsidR="007E2BF2" w:rsidRPr="00A116A0" w:rsidRDefault="00A116A0" w:rsidP="00A116A0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255E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lastRenderedPageBreak/>
        <w:t>Ove aktivnosti doprinijele su znatnom povećanju ukupnog godišnjeg broja prijava za zaštitu industrijskog vlasništva domaćih prijavitelja u nacionalnim postupcima u 2025. godini te dosizanje rekordnog godišnjeg broja prijava domaćih prijavitelja za zaštitu žiga Europske unije, što je značajan rezultat u kontekstu prevladavanja postojećeg zaostajanja Hrvatske za većinom drugih članica Europske unije u pogledu inovacijske učinkovitosti.</w:t>
      </w:r>
      <w:r w:rsidR="00B2143A" w:rsidRPr="00A116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950DE8" w14:textId="3857C54B" w:rsidR="0029177C" w:rsidRPr="00594429" w:rsidRDefault="0029177C" w:rsidP="00AA4EFD">
      <w:pPr>
        <w:pStyle w:val="Heading8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94429">
        <w:rPr>
          <w:rFonts w:ascii="Times New Roman" w:hAnsi="Times New Roman" w:cs="Times New Roman"/>
          <w:b/>
          <w:bCs/>
          <w:color w:val="auto"/>
          <w:sz w:val="24"/>
          <w:szCs w:val="24"/>
        </w:rPr>
        <w:t>Pokazatelji učinka</w:t>
      </w:r>
    </w:p>
    <w:p w14:paraId="7598177F" w14:textId="77777777" w:rsidR="00277B2E" w:rsidRPr="00594429" w:rsidRDefault="00277B2E" w:rsidP="00AA4EF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3FB5A69" w14:textId="77777777" w:rsidR="00BB70BF" w:rsidRPr="00594429" w:rsidRDefault="00BB70BF" w:rsidP="00EA20A0">
      <w:pPr>
        <w:pStyle w:val="Heading8"/>
        <w:rPr>
          <w:rFonts w:ascii="Times New Roman" w:hAnsi="Times New Roman" w:cs="Times New Roman"/>
          <w:b/>
          <w:color w:val="auto"/>
        </w:rPr>
      </w:pPr>
      <w:r w:rsidRPr="00594429">
        <w:rPr>
          <w:rFonts w:ascii="Times New Roman" w:hAnsi="Times New Roman" w:cs="Times New Roman"/>
          <w:b/>
          <w:color w:val="auto"/>
        </w:rPr>
        <w:t>Pokazatelji učinka</w:t>
      </w:r>
    </w:p>
    <w:tbl>
      <w:tblPr>
        <w:tblStyle w:val="StilTablice"/>
        <w:tblW w:w="9277" w:type="dxa"/>
        <w:jc w:val="center"/>
        <w:tblLook w:val="04A0" w:firstRow="1" w:lastRow="0" w:firstColumn="1" w:lastColumn="0" w:noHBand="0" w:noVBand="1"/>
      </w:tblPr>
      <w:tblGrid>
        <w:gridCol w:w="2033"/>
        <w:gridCol w:w="2080"/>
        <w:gridCol w:w="1041"/>
        <w:gridCol w:w="1103"/>
        <w:gridCol w:w="989"/>
        <w:gridCol w:w="928"/>
        <w:gridCol w:w="1103"/>
      </w:tblGrid>
      <w:tr w:rsidR="00A66E3B" w:rsidRPr="00594429" w14:paraId="3A870019" w14:textId="77777777" w:rsidTr="008F0A10">
        <w:trPr>
          <w:jc w:val="center"/>
        </w:trPr>
        <w:tc>
          <w:tcPr>
            <w:tcW w:w="2119" w:type="dxa"/>
            <w:shd w:val="clear" w:color="auto" w:fill="auto"/>
          </w:tcPr>
          <w:p w14:paraId="3CC86189" w14:textId="77777777" w:rsidR="008F0A10" w:rsidRPr="00594429" w:rsidRDefault="008F0A10" w:rsidP="00EA20A0">
            <w:pPr>
              <w:rPr>
                <w:rFonts w:cs="Times New Roman"/>
              </w:rPr>
            </w:pPr>
            <w:bookmarkStart w:id="0" w:name="_Hlk223934780"/>
            <w:r w:rsidRPr="00594429">
              <w:rPr>
                <w:rFonts w:cs="Times New Roman"/>
              </w:rPr>
              <w:t>Pokazatelj učinka</w:t>
            </w:r>
          </w:p>
        </w:tc>
        <w:tc>
          <w:tcPr>
            <w:tcW w:w="2146" w:type="dxa"/>
            <w:shd w:val="clear" w:color="auto" w:fill="auto"/>
          </w:tcPr>
          <w:p w14:paraId="6E52941E" w14:textId="77777777" w:rsidR="008F0A10" w:rsidRPr="00594429" w:rsidRDefault="008F0A10" w:rsidP="00EA20A0">
            <w:pPr>
              <w:pStyle w:val="CellHeader"/>
              <w:jc w:val="center"/>
              <w:rPr>
                <w:rFonts w:cs="Times New Roman"/>
                <w:lang w:val="hr-HR"/>
              </w:rPr>
            </w:pPr>
            <w:r w:rsidRPr="00594429">
              <w:rPr>
                <w:rFonts w:cs="Times New Roman"/>
                <w:lang w:val="hr-HR"/>
              </w:rPr>
              <w:t>Definicija</w:t>
            </w:r>
          </w:p>
        </w:tc>
        <w:tc>
          <w:tcPr>
            <w:tcW w:w="1043" w:type="dxa"/>
            <w:shd w:val="clear" w:color="auto" w:fill="auto"/>
          </w:tcPr>
          <w:p w14:paraId="71092A72" w14:textId="77777777" w:rsidR="008F0A10" w:rsidRPr="00594429" w:rsidRDefault="008F0A10" w:rsidP="00EA20A0">
            <w:pPr>
              <w:pStyle w:val="CellHeader"/>
              <w:jc w:val="center"/>
              <w:rPr>
                <w:rFonts w:cs="Times New Roman"/>
                <w:lang w:val="hr-HR"/>
              </w:rPr>
            </w:pPr>
            <w:r w:rsidRPr="00594429">
              <w:rPr>
                <w:rFonts w:cs="Times New Roman"/>
                <w:lang w:val="hr-HR"/>
              </w:rPr>
              <w:t>Jedinica</w:t>
            </w:r>
          </w:p>
        </w:tc>
        <w:tc>
          <w:tcPr>
            <w:tcW w:w="1102" w:type="dxa"/>
            <w:shd w:val="clear" w:color="auto" w:fill="auto"/>
          </w:tcPr>
          <w:p w14:paraId="07AE58D2" w14:textId="77777777" w:rsidR="008F0A10" w:rsidRPr="00594429" w:rsidRDefault="008F0A10" w:rsidP="00EA20A0">
            <w:pPr>
              <w:pStyle w:val="CellHeader"/>
              <w:jc w:val="center"/>
              <w:rPr>
                <w:rFonts w:cs="Times New Roman"/>
                <w:lang w:val="hr-HR"/>
              </w:rPr>
            </w:pPr>
            <w:r w:rsidRPr="00594429">
              <w:rPr>
                <w:rFonts w:cs="Times New Roman"/>
                <w:lang w:val="hr-HR"/>
              </w:rPr>
              <w:t>Polazna vrijednost</w:t>
            </w:r>
          </w:p>
        </w:tc>
        <w:tc>
          <w:tcPr>
            <w:tcW w:w="990" w:type="dxa"/>
            <w:shd w:val="clear" w:color="auto" w:fill="auto"/>
          </w:tcPr>
          <w:p w14:paraId="46921813" w14:textId="77777777" w:rsidR="008F0A10" w:rsidRPr="00594429" w:rsidRDefault="008F0A10" w:rsidP="00EA20A0">
            <w:pPr>
              <w:pStyle w:val="CellHeader"/>
              <w:jc w:val="center"/>
              <w:rPr>
                <w:rFonts w:cs="Times New Roman"/>
                <w:lang w:val="hr-HR"/>
              </w:rPr>
            </w:pPr>
            <w:r w:rsidRPr="00594429">
              <w:rPr>
                <w:rFonts w:cs="Times New Roman"/>
                <w:lang w:val="hr-HR"/>
              </w:rPr>
              <w:t>Izvor podataka</w:t>
            </w:r>
          </w:p>
        </w:tc>
        <w:tc>
          <w:tcPr>
            <w:tcW w:w="929" w:type="dxa"/>
            <w:shd w:val="clear" w:color="auto" w:fill="auto"/>
          </w:tcPr>
          <w:p w14:paraId="6DB27C0C" w14:textId="2E4DE967" w:rsidR="008F0A10" w:rsidRPr="00594429" w:rsidRDefault="008F0A10" w:rsidP="00EA20A0">
            <w:pPr>
              <w:pStyle w:val="CellHeader"/>
              <w:jc w:val="center"/>
              <w:rPr>
                <w:rFonts w:cs="Times New Roman"/>
                <w:lang w:val="hr-HR"/>
              </w:rPr>
            </w:pPr>
            <w:r w:rsidRPr="00594429">
              <w:rPr>
                <w:rFonts w:cs="Times New Roman"/>
                <w:lang w:val="hr-HR"/>
              </w:rPr>
              <w:t>Ciljana vrijednost (202</w:t>
            </w:r>
            <w:r w:rsidR="00667708" w:rsidRPr="00594429">
              <w:rPr>
                <w:rFonts w:cs="Times New Roman"/>
                <w:lang w:val="hr-HR"/>
              </w:rPr>
              <w:t>5</w:t>
            </w:r>
            <w:r w:rsidRPr="00594429">
              <w:rPr>
                <w:rFonts w:cs="Times New Roman"/>
                <w:lang w:val="hr-HR"/>
              </w:rPr>
              <w:t>.)</w:t>
            </w:r>
          </w:p>
        </w:tc>
        <w:tc>
          <w:tcPr>
            <w:tcW w:w="948" w:type="dxa"/>
            <w:shd w:val="clear" w:color="auto" w:fill="auto"/>
          </w:tcPr>
          <w:p w14:paraId="734DCED1" w14:textId="5C956078" w:rsidR="008F0A10" w:rsidRPr="00594429" w:rsidRDefault="008F0A10" w:rsidP="00EA20A0">
            <w:pPr>
              <w:pStyle w:val="CellHeader"/>
              <w:jc w:val="center"/>
              <w:rPr>
                <w:rFonts w:cs="Times New Roman"/>
                <w:lang w:val="hr-HR"/>
              </w:rPr>
            </w:pPr>
            <w:r w:rsidRPr="00594429">
              <w:rPr>
                <w:rFonts w:cs="Times New Roman"/>
                <w:lang w:val="hr-HR"/>
              </w:rPr>
              <w:t>Ostvarena vrijednost (202</w:t>
            </w:r>
            <w:r w:rsidR="00667708" w:rsidRPr="00594429">
              <w:rPr>
                <w:rFonts w:cs="Times New Roman"/>
                <w:lang w:val="hr-HR"/>
              </w:rPr>
              <w:t>5</w:t>
            </w:r>
            <w:r w:rsidRPr="00594429">
              <w:rPr>
                <w:rFonts w:cs="Times New Roman"/>
                <w:lang w:val="hr-HR"/>
              </w:rPr>
              <w:t>.)</w:t>
            </w:r>
          </w:p>
        </w:tc>
      </w:tr>
      <w:tr w:rsidR="00111E3D" w:rsidRPr="00A36417" w14:paraId="1CD270AF" w14:textId="77777777" w:rsidTr="008F0A10">
        <w:trPr>
          <w:jc w:val="center"/>
        </w:trPr>
        <w:tc>
          <w:tcPr>
            <w:tcW w:w="2119" w:type="dxa"/>
          </w:tcPr>
          <w:p w14:paraId="61964958" w14:textId="77777777" w:rsidR="008F0A10" w:rsidRPr="00594429" w:rsidRDefault="008F0A10" w:rsidP="00E018D6">
            <w:pPr>
              <w:pStyle w:val="CellColumn"/>
              <w:jc w:val="left"/>
              <w:rPr>
                <w:rFonts w:cs="Times New Roman"/>
                <w:szCs w:val="20"/>
                <w:lang w:val="hr-HR"/>
              </w:rPr>
            </w:pPr>
            <w:r w:rsidRPr="00594429">
              <w:rPr>
                <w:rFonts w:cs="Times New Roman"/>
                <w:lang w:val="hr-HR"/>
              </w:rPr>
              <w:t>Povećanje broja prijava industrijskog vlasništva u nacionalnom postupku (ukupno)</w:t>
            </w:r>
          </w:p>
          <w:p w14:paraId="5D88A895" w14:textId="77777777" w:rsidR="008F0A10" w:rsidRPr="00594429" w:rsidRDefault="008F0A10" w:rsidP="00E018D6">
            <w:pPr>
              <w:pStyle w:val="CellColumn"/>
              <w:jc w:val="left"/>
              <w:rPr>
                <w:rFonts w:cs="Times New Roman"/>
                <w:szCs w:val="20"/>
                <w:lang w:val="hr-HR"/>
              </w:rPr>
            </w:pPr>
          </w:p>
          <w:p w14:paraId="681B85D0" w14:textId="77777777" w:rsidR="008F0A10" w:rsidRPr="00594429" w:rsidRDefault="008F0A10" w:rsidP="007F610C">
            <w:pPr>
              <w:pStyle w:val="CellColumn"/>
              <w:jc w:val="left"/>
              <w:rPr>
                <w:rFonts w:cs="Times New Roman"/>
                <w:lang w:val="hr-HR"/>
              </w:rPr>
            </w:pPr>
          </w:p>
        </w:tc>
        <w:tc>
          <w:tcPr>
            <w:tcW w:w="2146" w:type="dxa"/>
          </w:tcPr>
          <w:p w14:paraId="02E96863" w14:textId="77777777" w:rsidR="008F0A10" w:rsidRPr="00594429" w:rsidRDefault="008F0A10" w:rsidP="007F610C">
            <w:pPr>
              <w:pStyle w:val="CellColumn"/>
              <w:jc w:val="left"/>
              <w:rPr>
                <w:rFonts w:cs="Times New Roman"/>
                <w:lang w:val="hr-HR"/>
              </w:rPr>
            </w:pPr>
            <w:r w:rsidRPr="00594429">
              <w:rPr>
                <w:rFonts w:cs="Times New Roman"/>
                <w:lang w:val="hr-HR"/>
              </w:rPr>
              <w:t>Ukupni broj prijava za zaštitu patenata (nacionalne prijave, PCT prijave – nacionalna faza), žiga (nacionalne prijave) i industrijskog dizajna (nacionalne prijave) – ne uključuje prijave za jedinstvenu zaštitu na ukupnom teritoriju Europske unije (žig i registrirani dizajn Europske unije)</w:t>
            </w:r>
          </w:p>
        </w:tc>
        <w:tc>
          <w:tcPr>
            <w:tcW w:w="1043" w:type="dxa"/>
          </w:tcPr>
          <w:p w14:paraId="4F56600D" w14:textId="77777777" w:rsidR="008F0A10" w:rsidRPr="00594429" w:rsidRDefault="008F0A10" w:rsidP="007F610C">
            <w:pPr>
              <w:rPr>
                <w:rFonts w:cs="Times New Roman"/>
              </w:rPr>
            </w:pPr>
            <w:r w:rsidRPr="00594429">
              <w:rPr>
                <w:rFonts w:cs="Times New Roman"/>
              </w:rPr>
              <w:t>%</w:t>
            </w:r>
          </w:p>
        </w:tc>
        <w:tc>
          <w:tcPr>
            <w:tcW w:w="1102" w:type="dxa"/>
          </w:tcPr>
          <w:p w14:paraId="3FAFB482" w14:textId="3E9588D7" w:rsidR="008F0A10" w:rsidRPr="00594429" w:rsidRDefault="00211AA6" w:rsidP="007F610C">
            <w:pPr>
              <w:spacing w:after="160" w:line="259" w:lineRule="auto"/>
              <w:rPr>
                <w:rFonts w:cs="Times New Roman"/>
              </w:rPr>
            </w:pPr>
            <w:r w:rsidRPr="00594429">
              <w:rPr>
                <w:rFonts w:cs="Times New Roman"/>
              </w:rPr>
              <w:t>1</w:t>
            </w:r>
            <w:r w:rsidR="00594429" w:rsidRPr="00594429">
              <w:rPr>
                <w:rFonts w:cs="Times New Roman"/>
              </w:rPr>
              <w:t>417</w:t>
            </w:r>
            <w:r w:rsidR="008F0A10" w:rsidRPr="00594429">
              <w:rPr>
                <w:rFonts w:cs="Times New Roman"/>
              </w:rPr>
              <w:t xml:space="preserve"> (202</w:t>
            </w:r>
            <w:r w:rsidR="00594429" w:rsidRPr="00594429">
              <w:rPr>
                <w:rFonts w:cs="Times New Roman"/>
              </w:rPr>
              <w:t>3</w:t>
            </w:r>
            <w:r w:rsidR="008F0A10" w:rsidRPr="00594429">
              <w:rPr>
                <w:rFonts w:cs="Times New Roman"/>
              </w:rPr>
              <w:t>.)</w:t>
            </w:r>
          </w:p>
        </w:tc>
        <w:tc>
          <w:tcPr>
            <w:tcW w:w="990" w:type="dxa"/>
          </w:tcPr>
          <w:p w14:paraId="5EB84062" w14:textId="77777777" w:rsidR="008F0A10" w:rsidRPr="00594429" w:rsidRDefault="008F0A10" w:rsidP="00E018D6">
            <w:pPr>
              <w:pStyle w:val="CellColumn"/>
              <w:jc w:val="center"/>
              <w:rPr>
                <w:rFonts w:cs="Times New Roman"/>
                <w:szCs w:val="20"/>
                <w:lang w:val="hr-HR"/>
              </w:rPr>
            </w:pPr>
            <w:r w:rsidRPr="00594429">
              <w:rPr>
                <w:rFonts w:cs="Times New Roman"/>
                <w:lang w:val="hr-HR"/>
              </w:rPr>
              <w:t>DZIV</w:t>
            </w:r>
          </w:p>
          <w:p w14:paraId="52ACAB47" w14:textId="77777777" w:rsidR="008F0A10" w:rsidRPr="00594429" w:rsidRDefault="008F0A10" w:rsidP="007F610C">
            <w:pPr>
              <w:pStyle w:val="CellColumn"/>
              <w:jc w:val="center"/>
              <w:rPr>
                <w:rFonts w:cs="Times New Roman"/>
                <w:lang w:val="hr-HR"/>
              </w:rPr>
            </w:pPr>
          </w:p>
        </w:tc>
        <w:tc>
          <w:tcPr>
            <w:tcW w:w="929" w:type="dxa"/>
          </w:tcPr>
          <w:p w14:paraId="0C68E1AB" w14:textId="4BAF7F88" w:rsidR="008F0A10" w:rsidRPr="00594429" w:rsidRDefault="00211AA6" w:rsidP="007F610C">
            <w:pPr>
              <w:rPr>
                <w:rFonts w:cs="Times New Roman"/>
              </w:rPr>
            </w:pPr>
            <w:r w:rsidRPr="00594429">
              <w:rPr>
                <w:rFonts w:cs="Times New Roman"/>
              </w:rPr>
              <w:t>2</w:t>
            </w:r>
            <w:r w:rsidR="008F0A10" w:rsidRPr="00594429">
              <w:rPr>
                <w:rFonts w:cs="Times New Roman"/>
              </w:rPr>
              <w:t>%</w:t>
            </w:r>
          </w:p>
          <w:p w14:paraId="4533AAA5" w14:textId="30FDCC30" w:rsidR="009D56D8" w:rsidRPr="00594429" w:rsidRDefault="009D56D8" w:rsidP="007F610C">
            <w:pPr>
              <w:rPr>
                <w:rFonts w:cs="Times New Roman"/>
              </w:rPr>
            </w:pPr>
            <w:r w:rsidRPr="00594429">
              <w:rPr>
                <w:rFonts w:cs="Times New Roman"/>
              </w:rPr>
              <w:t>(</w:t>
            </w:r>
            <w:r w:rsidR="00667708" w:rsidRPr="00594429">
              <w:rPr>
                <w:rFonts w:cs="Times New Roman"/>
              </w:rPr>
              <w:t>1445</w:t>
            </w:r>
            <w:r w:rsidRPr="00594429">
              <w:rPr>
                <w:rFonts w:cs="Times New Roman"/>
              </w:rPr>
              <w:t>)</w:t>
            </w:r>
          </w:p>
        </w:tc>
        <w:tc>
          <w:tcPr>
            <w:tcW w:w="948" w:type="dxa"/>
          </w:tcPr>
          <w:p w14:paraId="0F2DFB60" w14:textId="64108391" w:rsidR="008F0A10" w:rsidRPr="00594429" w:rsidRDefault="00594429" w:rsidP="007F610C">
            <w:pPr>
              <w:rPr>
                <w:rFonts w:cs="Times New Roman"/>
              </w:rPr>
            </w:pPr>
            <w:r w:rsidRPr="00594429">
              <w:rPr>
                <w:rFonts w:cs="Times New Roman"/>
              </w:rPr>
              <w:t>38</w:t>
            </w:r>
            <w:r w:rsidR="008F0A10" w:rsidRPr="00594429">
              <w:rPr>
                <w:rFonts w:cs="Times New Roman"/>
              </w:rPr>
              <w:t>%</w:t>
            </w:r>
          </w:p>
          <w:p w14:paraId="6A264C56" w14:textId="65BCD60E" w:rsidR="00134866" w:rsidRPr="00594429" w:rsidRDefault="00134866" w:rsidP="007F610C">
            <w:pPr>
              <w:rPr>
                <w:rFonts w:cs="Times New Roman"/>
              </w:rPr>
            </w:pPr>
            <w:r w:rsidRPr="00594429">
              <w:rPr>
                <w:rFonts w:cs="Times New Roman"/>
              </w:rPr>
              <w:t>(1</w:t>
            </w:r>
            <w:r w:rsidR="00667708" w:rsidRPr="00594429">
              <w:rPr>
                <w:rFonts w:cs="Times New Roman"/>
              </w:rPr>
              <w:t>951</w:t>
            </w:r>
            <w:r w:rsidRPr="00594429">
              <w:rPr>
                <w:rFonts w:cs="Times New Roman"/>
              </w:rPr>
              <w:t>)</w:t>
            </w:r>
          </w:p>
        </w:tc>
      </w:tr>
      <w:bookmarkEnd w:id="0"/>
      <w:tr w:rsidR="008F0A10" w:rsidRPr="00A36417" w14:paraId="180024A4" w14:textId="77777777" w:rsidTr="008F0A10">
        <w:trPr>
          <w:jc w:val="center"/>
        </w:trPr>
        <w:tc>
          <w:tcPr>
            <w:tcW w:w="2119" w:type="dxa"/>
          </w:tcPr>
          <w:p w14:paraId="5039AEF5" w14:textId="4B8B870D" w:rsidR="008F0A10" w:rsidRPr="00EF538B" w:rsidRDefault="008F0A10" w:rsidP="007F610C">
            <w:pPr>
              <w:pStyle w:val="CellColumn"/>
              <w:jc w:val="left"/>
              <w:rPr>
                <w:rFonts w:cs="Times New Roman"/>
                <w:lang w:val="hr-HR"/>
              </w:rPr>
            </w:pPr>
            <w:r w:rsidRPr="00EF538B">
              <w:rPr>
                <w:rFonts w:cs="Times New Roman"/>
                <w:lang w:val="hr-HR"/>
              </w:rPr>
              <w:t>Povećanje vrijednosti Globalnog inovacijskog indeksa Hrvatske u kategorijama rezultata inovacijskih i kreativnih  djelatnosti koji uključuju prava intelektualnog vlasništva (zbroj vrijednosti par</w:t>
            </w:r>
            <w:r w:rsidR="00F765EC" w:rsidRPr="00EF538B">
              <w:rPr>
                <w:rFonts w:cs="Times New Roman"/>
                <w:lang w:val="hr-HR"/>
              </w:rPr>
              <w:t>a</w:t>
            </w:r>
            <w:r w:rsidRPr="00EF538B">
              <w:rPr>
                <w:rFonts w:cs="Times New Roman"/>
                <w:lang w:val="hr-HR"/>
              </w:rPr>
              <w:t>metara)</w:t>
            </w:r>
          </w:p>
        </w:tc>
        <w:tc>
          <w:tcPr>
            <w:tcW w:w="2146" w:type="dxa"/>
          </w:tcPr>
          <w:p w14:paraId="4FF9CE7C" w14:textId="110FE07D" w:rsidR="008F0A10" w:rsidRPr="00EF538B" w:rsidRDefault="008F0A10" w:rsidP="007F610C">
            <w:pPr>
              <w:pStyle w:val="CellColumn"/>
              <w:jc w:val="left"/>
              <w:rPr>
                <w:rFonts w:cs="Times New Roman"/>
                <w:lang w:val="hr-HR"/>
              </w:rPr>
            </w:pPr>
            <w:r w:rsidRPr="00EF538B">
              <w:rPr>
                <w:rFonts w:cs="Times New Roman"/>
                <w:lang w:val="hr-HR"/>
              </w:rPr>
              <w:t>-</w:t>
            </w:r>
            <w:r w:rsidRPr="00EF538B">
              <w:rPr>
                <w:rFonts w:cs="Times New Roman"/>
                <w:lang w:val="hr-HR"/>
              </w:rPr>
              <w:tab/>
              <w:t>Rezultati u području znanja i tehnologije (</w:t>
            </w:r>
            <w:proofErr w:type="spellStart"/>
            <w:r w:rsidRPr="00EF538B">
              <w:rPr>
                <w:rFonts w:cs="Times New Roman"/>
                <w:lang w:val="hr-HR"/>
              </w:rPr>
              <w:t>Knowledge</w:t>
            </w:r>
            <w:proofErr w:type="spellEnd"/>
            <w:r w:rsidRPr="00EF538B">
              <w:rPr>
                <w:rFonts w:cs="Times New Roman"/>
                <w:lang w:val="hr-HR"/>
              </w:rPr>
              <w:t xml:space="preserve"> and </w:t>
            </w:r>
            <w:proofErr w:type="spellStart"/>
            <w:r w:rsidRPr="00EF538B">
              <w:rPr>
                <w:rFonts w:cs="Times New Roman"/>
                <w:lang w:val="hr-HR"/>
              </w:rPr>
              <w:t>technology</w:t>
            </w:r>
            <w:proofErr w:type="spellEnd"/>
            <w:r w:rsidRPr="00EF538B">
              <w:rPr>
                <w:rFonts w:cs="Times New Roman"/>
                <w:lang w:val="hr-HR"/>
              </w:rPr>
              <w:t xml:space="preserve"> </w:t>
            </w:r>
            <w:proofErr w:type="spellStart"/>
            <w:r w:rsidRPr="00EF538B">
              <w:rPr>
                <w:rFonts w:cs="Times New Roman"/>
                <w:lang w:val="hr-HR"/>
              </w:rPr>
              <w:t>outputs</w:t>
            </w:r>
            <w:proofErr w:type="spellEnd"/>
            <w:r w:rsidRPr="00EF538B">
              <w:rPr>
                <w:rFonts w:cs="Times New Roman"/>
                <w:lang w:val="hr-HR"/>
              </w:rPr>
              <w:t xml:space="preserve">) </w:t>
            </w:r>
          </w:p>
          <w:p w14:paraId="3D7350F3" w14:textId="6C208394" w:rsidR="008F0A10" w:rsidRPr="00EF538B" w:rsidRDefault="008F0A10" w:rsidP="007F610C">
            <w:pPr>
              <w:pStyle w:val="CellColumn"/>
              <w:jc w:val="left"/>
              <w:rPr>
                <w:rFonts w:cs="Times New Roman"/>
                <w:lang w:val="hr-HR"/>
              </w:rPr>
            </w:pPr>
            <w:r w:rsidRPr="00EF538B">
              <w:rPr>
                <w:rFonts w:cs="Times New Roman"/>
                <w:lang w:val="hr-HR"/>
              </w:rPr>
              <w:t>-</w:t>
            </w:r>
            <w:r w:rsidRPr="00EF538B">
              <w:rPr>
                <w:rFonts w:cs="Times New Roman"/>
                <w:lang w:val="hr-HR"/>
              </w:rPr>
              <w:tab/>
              <w:t>Rezultati u području kreativnih djelatnosti (Cre</w:t>
            </w:r>
            <w:r w:rsidR="00D50693">
              <w:rPr>
                <w:rFonts w:cs="Times New Roman"/>
                <w:lang w:val="hr-HR"/>
              </w:rPr>
              <w:t>a</w:t>
            </w:r>
            <w:r w:rsidRPr="00EF538B">
              <w:rPr>
                <w:rFonts w:cs="Times New Roman"/>
                <w:lang w:val="hr-HR"/>
              </w:rPr>
              <w:t xml:space="preserve">tive </w:t>
            </w:r>
            <w:proofErr w:type="spellStart"/>
            <w:r w:rsidRPr="00EF538B">
              <w:rPr>
                <w:rFonts w:cs="Times New Roman"/>
                <w:lang w:val="hr-HR"/>
              </w:rPr>
              <w:t>outputs</w:t>
            </w:r>
            <w:proofErr w:type="spellEnd"/>
            <w:r w:rsidRPr="00EF538B">
              <w:rPr>
                <w:rFonts w:cs="Times New Roman"/>
                <w:lang w:val="hr-HR"/>
              </w:rPr>
              <w:t>)</w:t>
            </w:r>
          </w:p>
        </w:tc>
        <w:tc>
          <w:tcPr>
            <w:tcW w:w="1043" w:type="dxa"/>
          </w:tcPr>
          <w:p w14:paraId="0BF55552" w14:textId="30928365" w:rsidR="008F0A10" w:rsidRPr="00EF538B" w:rsidRDefault="008F0A10" w:rsidP="007F610C">
            <w:pPr>
              <w:rPr>
                <w:rFonts w:cs="Times New Roman"/>
              </w:rPr>
            </w:pPr>
            <w:r w:rsidRPr="00EF538B">
              <w:rPr>
                <w:rFonts w:cs="Times New Roman"/>
              </w:rPr>
              <w:t xml:space="preserve">Vrijednost </w:t>
            </w:r>
            <w:r w:rsidRPr="00EF538B">
              <w:rPr>
                <w:rFonts w:cs="Times New Roman"/>
                <w:szCs w:val="20"/>
              </w:rPr>
              <w:t xml:space="preserve"> </w:t>
            </w:r>
            <w:r w:rsidRPr="00EF538B">
              <w:rPr>
                <w:rFonts w:cs="Times New Roman"/>
              </w:rPr>
              <w:t>pokazatelja</w:t>
            </w:r>
          </w:p>
        </w:tc>
        <w:tc>
          <w:tcPr>
            <w:tcW w:w="1102" w:type="dxa"/>
            <w:shd w:val="clear" w:color="auto" w:fill="auto"/>
          </w:tcPr>
          <w:p w14:paraId="5DD6D280" w14:textId="0C4A3245" w:rsidR="008F0A10" w:rsidRPr="00EF538B" w:rsidRDefault="00DD7BA8" w:rsidP="007F610C">
            <w:pPr>
              <w:rPr>
                <w:rFonts w:cs="Times New Roman"/>
              </w:rPr>
            </w:pPr>
            <w:r w:rsidRPr="00EF538B">
              <w:rPr>
                <w:rFonts w:cs="Times New Roman"/>
              </w:rPr>
              <w:t>6</w:t>
            </w:r>
            <w:r w:rsidR="00EF538B" w:rsidRPr="00EF538B">
              <w:rPr>
                <w:rFonts w:cs="Times New Roman"/>
              </w:rPr>
              <w:t>2</w:t>
            </w:r>
            <w:r w:rsidR="005723A6" w:rsidRPr="00EF538B">
              <w:rPr>
                <w:rFonts w:cs="Times New Roman"/>
              </w:rPr>
              <w:t>,</w:t>
            </w:r>
            <w:r w:rsidR="00EF538B" w:rsidRPr="00EF538B">
              <w:rPr>
                <w:rFonts w:cs="Times New Roman"/>
              </w:rPr>
              <w:t>8</w:t>
            </w:r>
            <w:r w:rsidR="008F0A10" w:rsidRPr="00EF538B">
              <w:rPr>
                <w:rFonts w:cs="Times New Roman"/>
              </w:rPr>
              <w:t xml:space="preserve"> (</w:t>
            </w:r>
            <w:proofErr w:type="spellStart"/>
            <w:r w:rsidR="008F0A10" w:rsidRPr="00EF538B">
              <w:rPr>
                <w:rFonts w:cs="Times New Roman"/>
              </w:rPr>
              <w:t>Knowledge</w:t>
            </w:r>
            <w:proofErr w:type="spellEnd"/>
            <w:r w:rsidR="008F0A10" w:rsidRPr="00EF538B">
              <w:rPr>
                <w:rFonts w:cs="Times New Roman"/>
              </w:rPr>
              <w:t xml:space="preserve"> and </w:t>
            </w:r>
            <w:proofErr w:type="spellStart"/>
            <w:r w:rsidR="008F0A10" w:rsidRPr="00EF538B">
              <w:rPr>
                <w:rFonts w:cs="Times New Roman"/>
              </w:rPr>
              <w:t>technology</w:t>
            </w:r>
            <w:proofErr w:type="spellEnd"/>
            <w:r w:rsidR="008F0A10" w:rsidRPr="00EF538B">
              <w:rPr>
                <w:rFonts w:cs="Times New Roman"/>
              </w:rPr>
              <w:t xml:space="preserve"> </w:t>
            </w:r>
            <w:proofErr w:type="spellStart"/>
            <w:r w:rsidR="008F0A10" w:rsidRPr="00EF538B">
              <w:rPr>
                <w:rFonts w:cs="Times New Roman"/>
              </w:rPr>
              <w:t>outputs</w:t>
            </w:r>
            <w:proofErr w:type="spellEnd"/>
            <w:r w:rsidR="008F0A10" w:rsidRPr="00EF538B">
              <w:rPr>
                <w:rFonts w:cs="Times New Roman"/>
              </w:rPr>
              <w:t xml:space="preserve"> </w:t>
            </w:r>
            <w:r w:rsidRPr="00EF538B">
              <w:rPr>
                <w:rFonts w:cs="Times New Roman"/>
              </w:rPr>
              <w:t>3</w:t>
            </w:r>
            <w:r w:rsidR="00EF538B" w:rsidRPr="00EF538B">
              <w:rPr>
                <w:rFonts w:cs="Times New Roman"/>
              </w:rPr>
              <w:t>1</w:t>
            </w:r>
            <w:r w:rsidR="00120481" w:rsidRPr="00EF538B">
              <w:rPr>
                <w:rFonts w:cs="Times New Roman"/>
                <w:szCs w:val="20"/>
              </w:rPr>
              <w:t>,</w:t>
            </w:r>
            <w:r w:rsidR="00EF538B" w:rsidRPr="00EF538B">
              <w:rPr>
                <w:rFonts w:cs="Times New Roman"/>
                <w:szCs w:val="20"/>
              </w:rPr>
              <w:t>3</w:t>
            </w:r>
            <w:r w:rsidR="008F0A10" w:rsidRPr="00EF538B">
              <w:rPr>
                <w:rFonts w:cs="Times New Roman"/>
              </w:rPr>
              <w:t xml:space="preserve">; Creative </w:t>
            </w:r>
            <w:proofErr w:type="spellStart"/>
            <w:r w:rsidR="008F0A10" w:rsidRPr="00EF538B">
              <w:rPr>
                <w:rFonts w:cs="Times New Roman"/>
              </w:rPr>
              <w:t>outputs</w:t>
            </w:r>
            <w:proofErr w:type="spellEnd"/>
            <w:r w:rsidR="008F0A10" w:rsidRPr="00EF538B">
              <w:rPr>
                <w:rFonts w:cs="Times New Roman"/>
              </w:rPr>
              <w:t xml:space="preserve"> </w:t>
            </w:r>
            <w:r w:rsidR="005723A6" w:rsidRPr="00EF538B">
              <w:rPr>
                <w:rFonts w:cs="Times New Roman"/>
              </w:rPr>
              <w:t>3</w:t>
            </w:r>
            <w:r w:rsidR="00EF538B" w:rsidRPr="00EF538B">
              <w:rPr>
                <w:rFonts w:cs="Times New Roman"/>
              </w:rPr>
              <w:t>1</w:t>
            </w:r>
            <w:r w:rsidR="008F0A10" w:rsidRPr="00EF538B">
              <w:rPr>
                <w:rFonts w:cs="Times New Roman"/>
                <w:szCs w:val="20"/>
              </w:rPr>
              <w:t>,</w:t>
            </w:r>
            <w:r w:rsidR="00EF538B" w:rsidRPr="00EF538B">
              <w:rPr>
                <w:rFonts w:cs="Times New Roman"/>
                <w:szCs w:val="20"/>
              </w:rPr>
              <w:t>5</w:t>
            </w:r>
            <w:r w:rsidR="008F0A10" w:rsidRPr="00EF538B">
              <w:rPr>
                <w:rFonts w:cs="Times New Roman"/>
                <w:szCs w:val="20"/>
              </w:rPr>
              <w:t>)</w:t>
            </w:r>
          </w:p>
          <w:p w14:paraId="15565CAF" w14:textId="1855B39D" w:rsidR="008F0A10" w:rsidRPr="00EF538B" w:rsidRDefault="008F0A10" w:rsidP="007F610C">
            <w:pPr>
              <w:rPr>
                <w:rFonts w:cs="Times New Roman"/>
              </w:rPr>
            </w:pPr>
            <w:r w:rsidRPr="00EF538B">
              <w:rPr>
                <w:rFonts w:cs="Times New Roman"/>
              </w:rPr>
              <w:t>(</w:t>
            </w:r>
            <w:r w:rsidRPr="00EF538B">
              <w:rPr>
                <w:rFonts w:cs="Times New Roman"/>
                <w:szCs w:val="20"/>
              </w:rPr>
              <w:t>202</w:t>
            </w:r>
            <w:r w:rsidR="00EF538B" w:rsidRPr="00EF538B">
              <w:rPr>
                <w:rFonts w:cs="Times New Roman"/>
                <w:szCs w:val="20"/>
              </w:rPr>
              <w:t>4</w:t>
            </w:r>
            <w:r w:rsidRPr="00EF538B">
              <w:rPr>
                <w:rFonts w:cs="Times New Roman"/>
              </w:rPr>
              <w:t>.)</w:t>
            </w:r>
          </w:p>
        </w:tc>
        <w:tc>
          <w:tcPr>
            <w:tcW w:w="990" w:type="dxa"/>
          </w:tcPr>
          <w:p w14:paraId="2D2E536F" w14:textId="77777777" w:rsidR="008F0A10" w:rsidRPr="00EF538B" w:rsidRDefault="008F0A10" w:rsidP="007F610C">
            <w:pPr>
              <w:pStyle w:val="CellColumn"/>
              <w:jc w:val="center"/>
              <w:rPr>
                <w:rFonts w:cs="Times New Roman"/>
                <w:lang w:val="hr-HR"/>
              </w:rPr>
            </w:pPr>
            <w:r w:rsidRPr="00EF538B">
              <w:rPr>
                <w:rFonts w:cs="Times New Roman"/>
                <w:lang w:val="hr-HR"/>
              </w:rPr>
              <w:t xml:space="preserve">WIPO Global </w:t>
            </w:r>
            <w:proofErr w:type="spellStart"/>
            <w:r w:rsidRPr="00EF538B">
              <w:rPr>
                <w:rFonts w:cs="Times New Roman"/>
                <w:lang w:val="hr-HR"/>
              </w:rPr>
              <w:t>Innovation</w:t>
            </w:r>
            <w:proofErr w:type="spellEnd"/>
            <w:r w:rsidRPr="00EF538B">
              <w:rPr>
                <w:rFonts w:cs="Times New Roman"/>
                <w:lang w:val="hr-HR"/>
              </w:rPr>
              <w:t xml:space="preserve"> Index</w:t>
            </w:r>
          </w:p>
        </w:tc>
        <w:tc>
          <w:tcPr>
            <w:tcW w:w="929" w:type="dxa"/>
          </w:tcPr>
          <w:p w14:paraId="65438318" w14:textId="074CB658" w:rsidR="008F0A10" w:rsidRPr="00EF538B" w:rsidRDefault="008F0A10" w:rsidP="007F610C">
            <w:pPr>
              <w:spacing w:after="160" w:line="259" w:lineRule="auto"/>
              <w:jc w:val="left"/>
              <w:rPr>
                <w:rFonts w:cs="Times New Roman"/>
                <w:color w:val="FF0000"/>
              </w:rPr>
            </w:pPr>
            <w:r w:rsidRPr="00EF538B">
              <w:rPr>
                <w:rFonts w:cs="Times New Roman"/>
              </w:rPr>
              <w:t>&gt;</w:t>
            </w:r>
            <w:r w:rsidR="00211AA6" w:rsidRPr="00EF538B">
              <w:rPr>
                <w:rFonts w:cs="Times New Roman"/>
              </w:rPr>
              <w:t>6</w:t>
            </w:r>
            <w:r w:rsidR="00EF538B">
              <w:rPr>
                <w:rFonts w:cs="Times New Roman"/>
              </w:rPr>
              <w:t>2,8</w:t>
            </w:r>
          </w:p>
        </w:tc>
        <w:tc>
          <w:tcPr>
            <w:tcW w:w="948" w:type="dxa"/>
          </w:tcPr>
          <w:p w14:paraId="4EBDA007" w14:textId="77777777" w:rsidR="00D50693" w:rsidRDefault="00134866" w:rsidP="00134866">
            <w:pPr>
              <w:rPr>
                <w:rFonts w:cs="Times New Roman"/>
                <w:szCs w:val="20"/>
              </w:rPr>
            </w:pPr>
            <w:r w:rsidRPr="00EF538B">
              <w:rPr>
                <w:rFonts w:cs="Times New Roman"/>
                <w:szCs w:val="20"/>
              </w:rPr>
              <w:t>6</w:t>
            </w:r>
            <w:r w:rsidR="00A66E3B" w:rsidRPr="00EF538B">
              <w:rPr>
                <w:rFonts w:cs="Times New Roman"/>
                <w:szCs w:val="20"/>
              </w:rPr>
              <w:t>2</w:t>
            </w:r>
            <w:r w:rsidRPr="00EF538B">
              <w:rPr>
                <w:rFonts w:cs="Times New Roman"/>
                <w:szCs w:val="20"/>
              </w:rPr>
              <w:t>,</w:t>
            </w:r>
            <w:r w:rsidR="00D50693">
              <w:rPr>
                <w:rFonts w:cs="Times New Roman"/>
                <w:szCs w:val="20"/>
              </w:rPr>
              <w:t>4</w:t>
            </w:r>
          </w:p>
          <w:p w14:paraId="5806E9C3" w14:textId="3DCE3D2C" w:rsidR="00134866" w:rsidRPr="00EF538B" w:rsidRDefault="00134866" w:rsidP="00134866">
            <w:pPr>
              <w:rPr>
                <w:rFonts w:cs="Times New Roman"/>
              </w:rPr>
            </w:pPr>
            <w:r w:rsidRPr="00EF538B">
              <w:rPr>
                <w:rFonts w:cs="Times New Roman"/>
              </w:rPr>
              <w:t>(</w:t>
            </w:r>
            <w:proofErr w:type="spellStart"/>
            <w:r w:rsidRPr="00EF538B">
              <w:rPr>
                <w:rFonts w:cs="Times New Roman"/>
              </w:rPr>
              <w:t>Knowledge</w:t>
            </w:r>
            <w:proofErr w:type="spellEnd"/>
            <w:r w:rsidRPr="00EF538B">
              <w:rPr>
                <w:rFonts w:cs="Times New Roman"/>
              </w:rPr>
              <w:t xml:space="preserve"> and </w:t>
            </w:r>
            <w:proofErr w:type="spellStart"/>
            <w:r w:rsidRPr="00EF538B">
              <w:rPr>
                <w:rFonts w:cs="Times New Roman"/>
              </w:rPr>
              <w:t>technology</w:t>
            </w:r>
            <w:proofErr w:type="spellEnd"/>
            <w:r w:rsidRPr="00EF538B">
              <w:rPr>
                <w:rFonts w:cs="Times New Roman"/>
              </w:rPr>
              <w:t xml:space="preserve"> </w:t>
            </w:r>
            <w:proofErr w:type="spellStart"/>
            <w:r w:rsidRPr="00EF538B">
              <w:rPr>
                <w:rFonts w:cs="Times New Roman"/>
              </w:rPr>
              <w:t>outputs</w:t>
            </w:r>
            <w:proofErr w:type="spellEnd"/>
            <w:r w:rsidRPr="00EF538B">
              <w:rPr>
                <w:rFonts w:cs="Times New Roman"/>
              </w:rPr>
              <w:t xml:space="preserve"> 3</w:t>
            </w:r>
            <w:r w:rsidR="00EF538B" w:rsidRPr="00EF538B">
              <w:rPr>
                <w:rFonts w:cs="Times New Roman"/>
              </w:rPr>
              <w:t>0</w:t>
            </w:r>
            <w:r w:rsidRPr="00EF538B">
              <w:rPr>
                <w:rFonts w:cs="Times New Roman"/>
              </w:rPr>
              <w:t>,</w:t>
            </w:r>
            <w:r w:rsidR="00A66E3B" w:rsidRPr="00EF538B">
              <w:rPr>
                <w:rFonts w:cs="Times New Roman"/>
              </w:rPr>
              <w:t>3</w:t>
            </w:r>
            <w:r w:rsidRPr="00EF538B">
              <w:rPr>
                <w:rFonts w:cs="Times New Roman"/>
              </w:rPr>
              <w:t xml:space="preserve">; Creative </w:t>
            </w:r>
            <w:proofErr w:type="spellStart"/>
            <w:r w:rsidRPr="00EF538B">
              <w:rPr>
                <w:rFonts w:cs="Times New Roman"/>
              </w:rPr>
              <w:t>outputs</w:t>
            </w:r>
            <w:proofErr w:type="spellEnd"/>
            <w:r w:rsidRPr="00EF538B">
              <w:rPr>
                <w:rFonts w:cs="Times New Roman"/>
              </w:rPr>
              <w:t xml:space="preserve"> 3</w:t>
            </w:r>
            <w:r w:rsidR="00EF538B" w:rsidRPr="00EF538B">
              <w:rPr>
                <w:rFonts w:cs="Times New Roman"/>
              </w:rPr>
              <w:t>2</w:t>
            </w:r>
            <w:r w:rsidRPr="00EF538B">
              <w:rPr>
                <w:rFonts w:cs="Times New Roman"/>
              </w:rPr>
              <w:t>,</w:t>
            </w:r>
            <w:r w:rsidR="00D50693">
              <w:rPr>
                <w:rFonts w:cs="Times New Roman"/>
              </w:rPr>
              <w:t>1</w:t>
            </w:r>
            <w:r w:rsidRPr="00EF538B">
              <w:rPr>
                <w:rFonts w:cs="Times New Roman"/>
                <w:szCs w:val="20"/>
              </w:rPr>
              <w:t>)</w:t>
            </w:r>
          </w:p>
          <w:p w14:paraId="6A090B47" w14:textId="541135D7" w:rsidR="008F0A10" w:rsidRPr="00EF538B" w:rsidRDefault="00134866" w:rsidP="00134866">
            <w:pPr>
              <w:spacing w:after="160" w:line="259" w:lineRule="auto"/>
              <w:rPr>
                <w:rFonts w:cs="Times New Roman"/>
                <w:color w:val="FF0000"/>
              </w:rPr>
            </w:pPr>
            <w:r w:rsidRPr="00EF538B">
              <w:rPr>
                <w:rFonts w:cs="Times New Roman"/>
              </w:rPr>
              <w:t>(</w:t>
            </w:r>
            <w:r w:rsidRPr="00EF538B">
              <w:rPr>
                <w:rFonts w:cs="Times New Roman"/>
                <w:szCs w:val="20"/>
              </w:rPr>
              <w:t>202</w:t>
            </w:r>
            <w:r w:rsidR="00EF538B" w:rsidRPr="00EF538B">
              <w:rPr>
                <w:rFonts w:cs="Times New Roman"/>
                <w:szCs w:val="20"/>
              </w:rPr>
              <w:t>5</w:t>
            </w:r>
            <w:r w:rsidRPr="00EF538B">
              <w:rPr>
                <w:rFonts w:cs="Times New Roman"/>
              </w:rPr>
              <w:t>.)</w:t>
            </w:r>
          </w:p>
        </w:tc>
      </w:tr>
    </w:tbl>
    <w:p w14:paraId="588A580E" w14:textId="17085A2C" w:rsidR="00BB70BF" w:rsidRPr="00A36417" w:rsidRDefault="00BB70BF" w:rsidP="007F610C">
      <w:pPr>
        <w:jc w:val="both"/>
        <w:rPr>
          <w:rFonts w:cstheme="minorHAnsi"/>
          <w:color w:val="FF0000"/>
          <w:highlight w:val="yellow"/>
        </w:rPr>
      </w:pPr>
    </w:p>
    <w:p w14:paraId="3677FC56" w14:textId="34184B7B" w:rsidR="00277B2E" w:rsidRPr="00A36417" w:rsidRDefault="00277B2E" w:rsidP="007F610C">
      <w:pPr>
        <w:jc w:val="both"/>
        <w:rPr>
          <w:rFonts w:cstheme="minorHAnsi"/>
          <w:color w:val="FF0000"/>
          <w:highlight w:val="yellow"/>
        </w:rPr>
      </w:pPr>
    </w:p>
    <w:p w14:paraId="4E60FEEE" w14:textId="77777777" w:rsidR="00BB70BF" w:rsidRPr="00667708" w:rsidRDefault="00BB70BF" w:rsidP="007F610C">
      <w:pPr>
        <w:pStyle w:val="Heading3"/>
        <w:rPr>
          <w:rFonts w:cs="Times New Roman"/>
          <w:lang w:val="hr-HR"/>
        </w:rPr>
      </w:pPr>
      <w:r w:rsidRPr="00667708">
        <w:rPr>
          <w:rFonts w:cs="Times New Roman"/>
          <w:lang w:val="hr-HR"/>
        </w:rPr>
        <w:t>A763000 ADMINISTRACIJA I UPRAVLJANJE DRŽAVNOG ZAVODA ZA INTELEKTUALNO VLASNIŠTVO</w:t>
      </w:r>
    </w:p>
    <w:p w14:paraId="547CE95E" w14:textId="77777777" w:rsidR="00631017" w:rsidRPr="00A36417" w:rsidRDefault="00631017" w:rsidP="00631017">
      <w:pPr>
        <w:jc w:val="both"/>
        <w:rPr>
          <w:rFonts w:cstheme="minorHAnsi"/>
          <w:color w:val="FF0000"/>
          <w:highlight w:val="yellow"/>
        </w:rPr>
      </w:pPr>
    </w:p>
    <w:tbl>
      <w:tblPr>
        <w:tblStyle w:val="StilTablice"/>
        <w:tblW w:w="9508" w:type="dxa"/>
        <w:jc w:val="center"/>
        <w:tblLook w:val="04A0" w:firstRow="1" w:lastRow="0" w:firstColumn="1" w:lastColumn="0" w:noHBand="0" w:noVBand="1"/>
      </w:tblPr>
      <w:tblGrid>
        <w:gridCol w:w="1499"/>
        <w:gridCol w:w="1601"/>
        <w:gridCol w:w="1602"/>
        <w:gridCol w:w="1602"/>
        <w:gridCol w:w="1602"/>
        <w:gridCol w:w="1602"/>
      </w:tblGrid>
      <w:tr w:rsidR="00C87B7A" w:rsidRPr="00A36417" w14:paraId="47A1C7B4" w14:textId="77777777" w:rsidTr="003D15EB">
        <w:trPr>
          <w:jc w:val="center"/>
        </w:trPr>
        <w:tc>
          <w:tcPr>
            <w:tcW w:w="1499" w:type="dxa"/>
            <w:shd w:val="clear" w:color="auto" w:fill="B5C0D8"/>
          </w:tcPr>
          <w:p w14:paraId="5711A180" w14:textId="77777777" w:rsidR="00C87B7A" w:rsidRPr="00A36417" w:rsidRDefault="00C87B7A" w:rsidP="00C87B7A">
            <w:pPr>
              <w:jc w:val="both"/>
              <w:rPr>
                <w:rFonts w:cs="Times New Roman"/>
                <w:color w:val="FF0000"/>
                <w:szCs w:val="20"/>
                <w:highlight w:val="yellow"/>
              </w:rPr>
            </w:pPr>
          </w:p>
          <w:p w14:paraId="4389A05E" w14:textId="2DFC024D" w:rsidR="00C87B7A" w:rsidRPr="00A36417" w:rsidRDefault="00C87B7A" w:rsidP="00C87B7A">
            <w:pPr>
              <w:jc w:val="both"/>
              <w:rPr>
                <w:rFonts w:cs="Times New Roman"/>
                <w:color w:val="FF0000"/>
                <w:highlight w:val="yellow"/>
              </w:rPr>
            </w:pPr>
          </w:p>
        </w:tc>
        <w:tc>
          <w:tcPr>
            <w:tcW w:w="1601" w:type="dxa"/>
            <w:shd w:val="clear" w:color="auto" w:fill="B5C0D8"/>
          </w:tcPr>
          <w:p w14:paraId="11DA14B6" w14:textId="61D16D6F" w:rsidR="00C87B7A" w:rsidRPr="00A36417" w:rsidRDefault="00C87B7A" w:rsidP="00C87B7A">
            <w:pPr>
              <w:rPr>
                <w:rFonts w:cs="Times New Roman"/>
                <w:color w:val="FF0000"/>
                <w:highlight w:val="yellow"/>
              </w:rPr>
            </w:pPr>
            <w:r w:rsidRPr="00C87B7A">
              <w:rPr>
                <w:rFonts w:cs="Times New Roman"/>
              </w:rPr>
              <w:t>Izvršenje 2024.</w:t>
            </w:r>
          </w:p>
        </w:tc>
        <w:tc>
          <w:tcPr>
            <w:tcW w:w="1602" w:type="dxa"/>
            <w:shd w:val="clear" w:color="auto" w:fill="B5C0D8"/>
          </w:tcPr>
          <w:p w14:paraId="7659466E" w14:textId="134F727A" w:rsidR="00C87B7A" w:rsidRPr="00A36417" w:rsidRDefault="00C87B7A" w:rsidP="00C87B7A">
            <w:pPr>
              <w:rPr>
                <w:rFonts w:cs="Times New Roman"/>
                <w:color w:val="FF0000"/>
                <w:highlight w:val="yellow"/>
              </w:rPr>
            </w:pPr>
            <w:r w:rsidRPr="00C87B7A">
              <w:rPr>
                <w:rFonts w:cs="Times New Roman"/>
              </w:rPr>
              <w:t>Plan 2025.</w:t>
            </w:r>
          </w:p>
        </w:tc>
        <w:tc>
          <w:tcPr>
            <w:tcW w:w="1602" w:type="dxa"/>
            <w:shd w:val="clear" w:color="auto" w:fill="B5C0D8"/>
          </w:tcPr>
          <w:p w14:paraId="59EFF2A1" w14:textId="714F65B4" w:rsidR="00C87B7A" w:rsidRPr="00A36417" w:rsidRDefault="00C87B7A" w:rsidP="00C87B7A">
            <w:pPr>
              <w:rPr>
                <w:rFonts w:cs="Times New Roman"/>
                <w:color w:val="FF0000"/>
                <w:highlight w:val="yellow"/>
              </w:rPr>
            </w:pPr>
            <w:r w:rsidRPr="00C87B7A">
              <w:rPr>
                <w:rFonts w:cs="Times New Roman"/>
              </w:rPr>
              <w:t>Izvršenje 2025.</w:t>
            </w:r>
          </w:p>
        </w:tc>
        <w:tc>
          <w:tcPr>
            <w:tcW w:w="1602" w:type="dxa"/>
            <w:shd w:val="clear" w:color="auto" w:fill="B5C0D8"/>
          </w:tcPr>
          <w:p w14:paraId="653BF050" w14:textId="56DFA277" w:rsidR="00C87B7A" w:rsidRPr="00A36417" w:rsidRDefault="00C87B7A" w:rsidP="00C87B7A">
            <w:pPr>
              <w:rPr>
                <w:rFonts w:cs="Times New Roman"/>
                <w:color w:val="FF0000"/>
                <w:highlight w:val="yellow"/>
              </w:rPr>
            </w:pPr>
            <w:r w:rsidRPr="00C87B7A">
              <w:rPr>
                <w:rFonts w:cs="Times New Roman"/>
              </w:rPr>
              <w:t>Indeks izvršenja 2025./plan 2025.</w:t>
            </w:r>
          </w:p>
        </w:tc>
        <w:tc>
          <w:tcPr>
            <w:tcW w:w="1602" w:type="dxa"/>
            <w:shd w:val="clear" w:color="auto" w:fill="B5C0D8"/>
          </w:tcPr>
          <w:p w14:paraId="477F277F" w14:textId="33AC8EB3" w:rsidR="00C87B7A" w:rsidRPr="00A36417" w:rsidRDefault="00C87B7A" w:rsidP="00C87B7A">
            <w:pPr>
              <w:rPr>
                <w:rFonts w:cs="Times New Roman"/>
                <w:color w:val="FF0000"/>
                <w:highlight w:val="yellow"/>
              </w:rPr>
            </w:pPr>
            <w:r w:rsidRPr="00C87B7A">
              <w:rPr>
                <w:rFonts w:cs="Times New Roman"/>
              </w:rPr>
              <w:t>Indeks izvršenja 2025./2024.</w:t>
            </w:r>
          </w:p>
        </w:tc>
      </w:tr>
      <w:tr w:rsidR="00E31F9C" w:rsidRPr="00A36417" w14:paraId="19B2A242" w14:textId="77777777" w:rsidTr="003D15EB">
        <w:trPr>
          <w:jc w:val="center"/>
        </w:trPr>
        <w:tc>
          <w:tcPr>
            <w:tcW w:w="1499" w:type="dxa"/>
            <w:vAlign w:val="top"/>
          </w:tcPr>
          <w:p w14:paraId="181E1E51" w14:textId="77777777" w:rsidR="003D15EB" w:rsidRPr="00203D72" w:rsidRDefault="003D15EB" w:rsidP="007F610C">
            <w:pPr>
              <w:rPr>
                <w:rFonts w:cs="Times New Roman"/>
                <w:color w:val="FF0000"/>
              </w:rPr>
            </w:pPr>
            <w:r w:rsidRPr="00203D72">
              <w:rPr>
                <w:rFonts w:cs="Times New Roman"/>
              </w:rPr>
              <w:t>A763000</w:t>
            </w:r>
          </w:p>
        </w:tc>
        <w:tc>
          <w:tcPr>
            <w:tcW w:w="1601" w:type="dxa"/>
            <w:vAlign w:val="top"/>
          </w:tcPr>
          <w:p w14:paraId="567DD7CD" w14:textId="2D645CAF" w:rsidR="003D15EB" w:rsidRPr="00203D72" w:rsidRDefault="00203D72" w:rsidP="00073ED9">
            <w:pPr>
              <w:jc w:val="right"/>
              <w:rPr>
                <w:rFonts w:cs="Times New Roman"/>
              </w:rPr>
            </w:pPr>
            <w:r w:rsidRPr="00203D72">
              <w:rPr>
                <w:rFonts w:cs="Times New Roman"/>
              </w:rPr>
              <w:t>4.051.956</w:t>
            </w:r>
          </w:p>
        </w:tc>
        <w:tc>
          <w:tcPr>
            <w:tcW w:w="1602" w:type="dxa"/>
            <w:vAlign w:val="top"/>
          </w:tcPr>
          <w:p w14:paraId="34CCAD2A" w14:textId="09432DBF" w:rsidR="003D15EB" w:rsidRPr="00203D72" w:rsidRDefault="004659B6" w:rsidP="00073ED9">
            <w:pPr>
              <w:jc w:val="right"/>
              <w:rPr>
                <w:rFonts w:cs="Times New Roman"/>
              </w:rPr>
            </w:pPr>
            <w:r w:rsidRPr="00203D72">
              <w:rPr>
                <w:rFonts w:cs="Times New Roman"/>
              </w:rPr>
              <w:t>4.</w:t>
            </w:r>
            <w:r w:rsidR="00203D72" w:rsidRPr="00203D72">
              <w:rPr>
                <w:rFonts w:cs="Times New Roman"/>
              </w:rPr>
              <w:t>605.937</w:t>
            </w:r>
          </w:p>
        </w:tc>
        <w:tc>
          <w:tcPr>
            <w:tcW w:w="1602" w:type="dxa"/>
            <w:vAlign w:val="top"/>
          </w:tcPr>
          <w:p w14:paraId="2B1BE7FF" w14:textId="155AE3E3" w:rsidR="003D15EB" w:rsidRPr="00203D72" w:rsidRDefault="004659B6" w:rsidP="00073ED9">
            <w:pPr>
              <w:jc w:val="right"/>
              <w:rPr>
                <w:rFonts w:cs="Times New Roman"/>
              </w:rPr>
            </w:pPr>
            <w:r w:rsidRPr="00203D72">
              <w:rPr>
                <w:rFonts w:cs="Times New Roman"/>
              </w:rPr>
              <w:t>4.</w:t>
            </w:r>
            <w:r w:rsidR="00203D72" w:rsidRPr="00203D72">
              <w:rPr>
                <w:rFonts w:cs="Times New Roman"/>
              </w:rPr>
              <w:t>489.683</w:t>
            </w:r>
          </w:p>
        </w:tc>
        <w:tc>
          <w:tcPr>
            <w:tcW w:w="1602" w:type="dxa"/>
            <w:vAlign w:val="top"/>
          </w:tcPr>
          <w:p w14:paraId="689FDCE7" w14:textId="7F77E306" w:rsidR="003D15EB" w:rsidRPr="00203D72" w:rsidRDefault="004659B6" w:rsidP="00073ED9">
            <w:pPr>
              <w:jc w:val="right"/>
              <w:rPr>
                <w:rFonts w:cs="Times New Roman"/>
              </w:rPr>
            </w:pPr>
            <w:r w:rsidRPr="00203D72">
              <w:rPr>
                <w:rFonts w:cs="Times New Roman"/>
              </w:rPr>
              <w:t>9</w:t>
            </w:r>
            <w:r w:rsidR="00203D72" w:rsidRPr="00203D72">
              <w:rPr>
                <w:rFonts w:cs="Times New Roman"/>
              </w:rPr>
              <w:t>7</w:t>
            </w:r>
            <w:r w:rsidRPr="00203D72">
              <w:rPr>
                <w:rFonts w:cs="Times New Roman"/>
              </w:rPr>
              <w:t>,</w:t>
            </w:r>
            <w:r w:rsidR="00203D72" w:rsidRPr="00203D72">
              <w:rPr>
                <w:rFonts w:cs="Times New Roman"/>
              </w:rPr>
              <w:t>5</w:t>
            </w:r>
          </w:p>
        </w:tc>
        <w:tc>
          <w:tcPr>
            <w:tcW w:w="1602" w:type="dxa"/>
            <w:vAlign w:val="top"/>
          </w:tcPr>
          <w:p w14:paraId="57EA7DC2" w14:textId="5469AF1C" w:rsidR="003D15EB" w:rsidRPr="00203D72" w:rsidRDefault="00E31F9C" w:rsidP="00073ED9">
            <w:pPr>
              <w:jc w:val="right"/>
              <w:rPr>
                <w:rFonts w:cs="Times New Roman"/>
              </w:rPr>
            </w:pPr>
            <w:r w:rsidRPr="00203D72">
              <w:rPr>
                <w:rFonts w:cs="Times New Roman"/>
              </w:rPr>
              <w:t>1</w:t>
            </w:r>
            <w:r w:rsidR="00203D72" w:rsidRPr="00203D72">
              <w:rPr>
                <w:rFonts w:cs="Times New Roman"/>
              </w:rPr>
              <w:t>10</w:t>
            </w:r>
            <w:r w:rsidRPr="00203D72">
              <w:rPr>
                <w:rFonts w:cs="Times New Roman"/>
              </w:rPr>
              <w:t>,</w:t>
            </w:r>
            <w:r w:rsidR="00203D72" w:rsidRPr="00203D72">
              <w:rPr>
                <w:rFonts w:cs="Times New Roman"/>
              </w:rPr>
              <w:t>8</w:t>
            </w:r>
          </w:p>
        </w:tc>
      </w:tr>
    </w:tbl>
    <w:p w14:paraId="750774BF" w14:textId="77777777" w:rsidR="00BB70BF" w:rsidRPr="00A36417" w:rsidRDefault="00BB70BF" w:rsidP="007F610C">
      <w:pPr>
        <w:jc w:val="both"/>
        <w:rPr>
          <w:rFonts w:cstheme="minorHAnsi"/>
          <w:color w:val="FF0000"/>
          <w:highlight w:val="yellow"/>
        </w:rPr>
      </w:pPr>
    </w:p>
    <w:p w14:paraId="0918D158" w14:textId="77777777" w:rsidR="0029177C" w:rsidRPr="00203D72" w:rsidRDefault="0029177C" w:rsidP="00AA4EFD">
      <w:pPr>
        <w:pStyle w:val="Heading8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03D72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Zakonske i druge pravne osnove</w:t>
      </w:r>
    </w:p>
    <w:p w14:paraId="6E40A6C7" w14:textId="77777777" w:rsidR="0044717B" w:rsidRPr="00203D72" w:rsidRDefault="0044717B" w:rsidP="00AA4E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23D970" w14:textId="598271D9" w:rsidR="0029177C" w:rsidRPr="00BB041C" w:rsidRDefault="0029177C" w:rsidP="00AA4EFD">
      <w:pPr>
        <w:jc w:val="both"/>
        <w:rPr>
          <w:rFonts w:ascii="Times New Roman" w:hAnsi="Times New Roman" w:cs="Times New Roman"/>
          <w:sz w:val="24"/>
          <w:szCs w:val="24"/>
        </w:rPr>
      </w:pPr>
      <w:r w:rsidRPr="00BB041C">
        <w:rPr>
          <w:rFonts w:ascii="Times New Roman" w:hAnsi="Times New Roman" w:cs="Times New Roman"/>
          <w:sz w:val="24"/>
          <w:szCs w:val="24"/>
        </w:rPr>
        <w:t xml:space="preserve">Zakon o ustrojstvu i djelokrugu ministarstava i drugih središnjih tijela državne uprave, Zakon o patentu, Zakon o žigu, Zakon o </w:t>
      </w:r>
      <w:r w:rsidR="00BB041C" w:rsidRPr="00BB041C">
        <w:rPr>
          <w:rFonts w:ascii="Times New Roman" w:hAnsi="Times New Roman" w:cs="Times New Roman"/>
          <w:sz w:val="24"/>
          <w:szCs w:val="24"/>
        </w:rPr>
        <w:t xml:space="preserve">zaštiti </w:t>
      </w:r>
      <w:r w:rsidRPr="00BB041C">
        <w:rPr>
          <w:rFonts w:ascii="Times New Roman" w:hAnsi="Times New Roman" w:cs="Times New Roman"/>
          <w:sz w:val="24"/>
          <w:szCs w:val="24"/>
        </w:rPr>
        <w:t xml:space="preserve">oznaka zemljopisnog podrijetla </w:t>
      </w:r>
      <w:r w:rsidR="00BB041C" w:rsidRPr="00BB041C">
        <w:rPr>
          <w:rFonts w:ascii="Times New Roman" w:hAnsi="Times New Roman" w:cs="Times New Roman"/>
          <w:sz w:val="24"/>
          <w:szCs w:val="24"/>
        </w:rPr>
        <w:t>za obrtničke i industrijske proizvode</w:t>
      </w:r>
      <w:r w:rsidRPr="00BB041C">
        <w:rPr>
          <w:rFonts w:ascii="Times New Roman" w:hAnsi="Times New Roman" w:cs="Times New Roman"/>
          <w:sz w:val="24"/>
          <w:szCs w:val="24"/>
        </w:rPr>
        <w:t>, Zakon o zaštiti topografija poluvodičkih proizvoda, Zakon o industrijskom dizajnu, Zakon o autorskom pravu i srodnim pravima, Zakon o zaštiti neobjavljenih informacija s tržišnom vrijednosti, Zakon o upravnim pristojbama u području prava intelektualnog vlasništva, Uredba o naknadama za posebne troškove i troškove za pružanje informacijskih usluga Državnog zavoda za intelektualno vlasništvo, Uredba (EZ) br. 469/2009 o svjedodžbi o dodatnoj zaštiti za lijekove, Uredba (EZ) br. 1610/96 o uvođenju svjedodžbe o dodatnoj zaštiti za sredstva za zaštitu bilja, Ugovor o suradnji na području patenata (PCT), Pravilnik prema Ugovoru o suradnji na području patenata (PCT), Europska patentna konvencija (EPC 2000), Provedbeni pravilnik Europske patentne konvencije, Pravilnik o pristojbama uz Europsku patentnu konvenciju, Madridski sporazum o međunarodnoj registraciji žigova, Protokol koji se odnosi na Madridski sporazum o međunarodnoj registraciji žigova, Zajednički pravilnik uz Madridski sporazum o međunarodnoj registraciji žigova i Protokol koji se odnosi na Madridski sporazum i Izmjene i dopune Zajedničkog pravilnika, Haški sporazum o međunarodnoj registraciji industrijskog dizajna te Ženevski Akt Haškog sporazuma, Zajednički pravilnik prema Aktu Haškoga sporazuma iz 1999., 1960. i 1934. godine.</w:t>
      </w:r>
    </w:p>
    <w:p w14:paraId="32596791" w14:textId="414B1987" w:rsidR="0029177C" w:rsidRPr="00203D72" w:rsidRDefault="0029177C" w:rsidP="00AA4EFD">
      <w:pPr>
        <w:pStyle w:val="Heading8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03D72">
        <w:rPr>
          <w:rFonts w:ascii="Times New Roman" w:hAnsi="Times New Roman" w:cs="Times New Roman"/>
          <w:b/>
          <w:bCs/>
          <w:color w:val="auto"/>
          <w:sz w:val="24"/>
          <w:szCs w:val="24"/>
        </w:rPr>
        <w:t>Opis aktivnosti</w:t>
      </w:r>
    </w:p>
    <w:p w14:paraId="791F25FC" w14:textId="77777777" w:rsidR="0044717B" w:rsidRPr="00A36417" w:rsidRDefault="0044717B" w:rsidP="0044717B">
      <w:pPr>
        <w:rPr>
          <w:color w:val="FF0000"/>
          <w:highlight w:val="yellow"/>
        </w:rPr>
      </w:pPr>
    </w:p>
    <w:p w14:paraId="2AE70343" w14:textId="07D59B49" w:rsidR="0029177C" w:rsidRPr="00203D72" w:rsidRDefault="0029177C" w:rsidP="00AA4EFD">
      <w:pPr>
        <w:jc w:val="both"/>
        <w:rPr>
          <w:rFonts w:ascii="Times New Roman" w:hAnsi="Times New Roman" w:cs="Times New Roman"/>
          <w:sz w:val="24"/>
          <w:szCs w:val="24"/>
        </w:rPr>
      </w:pPr>
      <w:r w:rsidRPr="00203D72">
        <w:rPr>
          <w:rFonts w:ascii="Times New Roman" w:hAnsi="Times New Roman" w:cs="Times New Roman"/>
          <w:sz w:val="24"/>
          <w:szCs w:val="24"/>
        </w:rPr>
        <w:t>Aktivnost Administracija i upravljanje obuhvaćala je sve redovne poslove i aktivnosti DZIV-a na ostvarenju  propisane djelatnosti koja se odnosi na osiguravanje primjerenog sustava zaštite prava intelektualnog vlasništva na teritoriju Republike Hrvatske putem nacionalnog i nadnacionalnih sustava zaštite. Provedbom ove aktivnosti osiguravalo se obavljanje propisanih upravnih i stručnih poslova koji se odnose na razvoj zakonodavnog okvira za zaštitu intelektualnog vlasništva; provedbu postupaka za zaštitu prava industrijskog vlasništva i nadzor nad sustavom kolektivnog ostvarivanja autorskog i srodnih prava; razvoj i pružanje pratećih javnih stručnih usluga iz područja intelektualnog vlasništva; razvoj i održavanje javnih registara i baza podataka iz područja intelektualnog vlasništva te održavanje i razvoj prateće informacijske, podatkovne i mrežne infrastrukture; razvoj pratećih e-usluga; razvoj i provedba razmjene podataka s međunarodnim sustavima zaštite intelektualnog vlasništva te uključivanje u zajedničke informacijske sustave; sudjelovanje u razvoju zakonodavnog i institucionalnog okvira Europske unije u području intelektualnog vlasništva; obavljanje poslova službene europske i međunarodne suradnje s odgovarajućim državnim institucijama drugih zemalja, kao i odgovarajućim europskim i međunarodnim organizacijama; poslovi pripreme, zaključivanja i izvršavanje međunarodnih ugovora iz područja intelektualnog vlasništva; poslovi vezani uz predstavljanje Republike Hrvatske u europskim i međunarodnim organizacijama i stručnim tijelima iz područja intelektualnog vlasništva; ostali poslovi razvoja i unaprjeđenja ukupnog nacionalnog sustava intelektualnog vlasništva.</w:t>
      </w:r>
    </w:p>
    <w:p w14:paraId="7B74F628" w14:textId="303B840A" w:rsidR="0029177C" w:rsidRPr="00203D72" w:rsidRDefault="0029177C" w:rsidP="00AA4EFD">
      <w:pPr>
        <w:jc w:val="both"/>
        <w:rPr>
          <w:rFonts w:ascii="Times New Roman" w:hAnsi="Times New Roman" w:cs="Times New Roman"/>
          <w:sz w:val="24"/>
          <w:szCs w:val="24"/>
        </w:rPr>
      </w:pPr>
      <w:r w:rsidRPr="00203D72">
        <w:rPr>
          <w:rFonts w:ascii="Times New Roman" w:hAnsi="Times New Roman" w:cs="Times New Roman"/>
          <w:sz w:val="24"/>
          <w:szCs w:val="24"/>
        </w:rPr>
        <w:t>Za provođenje ove aktivnosti u 202</w:t>
      </w:r>
      <w:r w:rsidR="00203D72" w:rsidRPr="00203D72">
        <w:rPr>
          <w:rFonts w:ascii="Times New Roman" w:hAnsi="Times New Roman" w:cs="Times New Roman"/>
          <w:sz w:val="24"/>
          <w:szCs w:val="24"/>
        </w:rPr>
        <w:t>5</w:t>
      </w:r>
      <w:r w:rsidRPr="00203D72">
        <w:rPr>
          <w:rFonts w:ascii="Times New Roman" w:hAnsi="Times New Roman" w:cs="Times New Roman"/>
          <w:sz w:val="24"/>
          <w:szCs w:val="24"/>
        </w:rPr>
        <w:t>. godini utrošena su sredstva kako slijedi:</w:t>
      </w:r>
    </w:p>
    <w:p w14:paraId="51144E0C" w14:textId="0640120D" w:rsidR="0029177C" w:rsidRPr="000437C7" w:rsidRDefault="0029177C" w:rsidP="00AA4EFD">
      <w:pPr>
        <w:jc w:val="both"/>
        <w:rPr>
          <w:rFonts w:ascii="Times New Roman" w:hAnsi="Times New Roman" w:cs="Times New Roman"/>
          <w:sz w:val="24"/>
          <w:szCs w:val="24"/>
        </w:rPr>
      </w:pPr>
      <w:r w:rsidRPr="000437C7">
        <w:rPr>
          <w:rFonts w:ascii="Times New Roman" w:hAnsi="Times New Roman" w:cs="Times New Roman"/>
          <w:sz w:val="24"/>
          <w:szCs w:val="24"/>
        </w:rPr>
        <w:lastRenderedPageBreak/>
        <w:t>- ukupni rashodi za zaposlene za prosječni godišnji broj od 8</w:t>
      </w:r>
      <w:r w:rsidR="000437C7" w:rsidRPr="000437C7">
        <w:rPr>
          <w:rFonts w:ascii="Times New Roman" w:hAnsi="Times New Roman" w:cs="Times New Roman"/>
          <w:sz w:val="24"/>
          <w:szCs w:val="24"/>
        </w:rPr>
        <w:t>7</w:t>
      </w:r>
      <w:r w:rsidRPr="000437C7">
        <w:rPr>
          <w:rFonts w:ascii="Times New Roman" w:hAnsi="Times New Roman" w:cs="Times New Roman"/>
          <w:sz w:val="24"/>
          <w:szCs w:val="24"/>
        </w:rPr>
        <w:t xml:space="preserve"> zaposlenika (bruto plaće, pripadajući doprinosi</w:t>
      </w:r>
      <w:r w:rsidR="0054147B" w:rsidRPr="000437C7">
        <w:rPr>
          <w:rFonts w:ascii="Times New Roman" w:hAnsi="Times New Roman" w:cs="Times New Roman"/>
          <w:sz w:val="24"/>
          <w:szCs w:val="24"/>
        </w:rPr>
        <w:t xml:space="preserve">, </w:t>
      </w:r>
      <w:r w:rsidR="00D50693">
        <w:rPr>
          <w:rFonts w:ascii="Times New Roman" w:hAnsi="Times New Roman" w:cs="Times New Roman"/>
          <w:sz w:val="24"/>
          <w:szCs w:val="24"/>
        </w:rPr>
        <w:t>druga</w:t>
      </w:r>
      <w:r w:rsidR="00D50693" w:rsidRPr="000437C7">
        <w:rPr>
          <w:rFonts w:ascii="Times New Roman" w:hAnsi="Times New Roman" w:cs="Times New Roman"/>
          <w:sz w:val="24"/>
          <w:szCs w:val="24"/>
        </w:rPr>
        <w:t xml:space="preserve"> </w:t>
      </w:r>
      <w:r w:rsidR="0054147B" w:rsidRPr="000437C7">
        <w:rPr>
          <w:rFonts w:ascii="Times New Roman" w:hAnsi="Times New Roman" w:cs="Times New Roman"/>
          <w:sz w:val="24"/>
          <w:szCs w:val="24"/>
        </w:rPr>
        <w:t xml:space="preserve">materijalna prava </w:t>
      </w:r>
      <w:r w:rsidR="00D50693">
        <w:rPr>
          <w:rFonts w:ascii="Times New Roman" w:hAnsi="Times New Roman" w:cs="Times New Roman"/>
          <w:sz w:val="24"/>
          <w:szCs w:val="24"/>
        </w:rPr>
        <w:t>državnih službenika</w:t>
      </w:r>
      <w:r w:rsidR="00D50693" w:rsidRPr="000437C7">
        <w:rPr>
          <w:rFonts w:ascii="Times New Roman" w:hAnsi="Times New Roman" w:cs="Times New Roman"/>
          <w:sz w:val="24"/>
          <w:szCs w:val="24"/>
        </w:rPr>
        <w:t xml:space="preserve"> </w:t>
      </w:r>
      <w:r w:rsidR="0054147B" w:rsidRPr="000437C7">
        <w:rPr>
          <w:rFonts w:ascii="Times New Roman" w:hAnsi="Times New Roman" w:cs="Times New Roman"/>
          <w:sz w:val="24"/>
          <w:szCs w:val="24"/>
        </w:rPr>
        <w:t>- regres, otpremnine, nagrade, božićnice i sl.</w:t>
      </w:r>
      <w:r w:rsidRPr="000437C7">
        <w:rPr>
          <w:rFonts w:ascii="Times New Roman" w:hAnsi="Times New Roman" w:cs="Times New Roman"/>
          <w:sz w:val="24"/>
          <w:szCs w:val="24"/>
        </w:rPr>
        <w:t xml:space="preserve"> te naknad</w:t>
      </w:r>
      <w:r w:rsidR="0054147B" w:rsidRPr="000437C7">
        <w:rPr>
          <w:rFonts w:ascii="Times New Roman" w:hAnsi="Times New Roman" w:cs="Times New Roman"/>
          <w:sz w:val="24"/>
          <w:szCs w:val="24"/>
        </w:rPr>
        <w:t>e</w:t>
      </w:r>
      <w:r w:rsidRPr="000437C7">
        <w:rPr>
          <w:rFonts w:ascii="Times New Roman" w:hAnsi="Times New Roman" w:cs="Times New Roman"/>
          <w:sz w:val="24"/>
          <w:szCs w:val="24"/>
        </w:rPr>
        <w:t xml:space="preserve"> za prijevoz) u iznosu od  </w:t>
      </w:r>
      <w:r w:rsidR="000437C7" w:rsidRPr="000437C7">
        <w:rPr>
          <w:rFonts w:ascii="Times New Roman" w:hAnsi="Times New Roman" w:cs="Times New Roman"/>
          <w:sz w:val="24"/>
          <w:szCs w:val="24"/>
        </w:rPr>
        <w:t>3.041.625</w:t>
      </w:r>
      <w:r w:rsidR="00E31F9C" w:rsidRPr="000437C7">
        <w:rPr>
          <w:rFonts w:ascii="Times New Roman" w:hAnsi="Times New Roman" w:cs="Times New Roman"/>
          <w:sz w:val="24"/>
          <w:szCs w:val="24"/>
        </w:rPr>
        <w:t xml:space="preserve"> </w:t>
      </w:r>
      <w:r w:rsidR="0054147B" w:rsidRPr="000437C7">
        <w:rPr>
          <w:rFonts w:ascii="Times New Roman" w:hAnsi="Times New Roman" w:cs="Times New Roman"/>
          <w:sz w:val="24"/>
          <w:szCs w:val="24"/>
        </w:rPr>
        <w:t xml:space="preserve">€ </w:t>
      </w:r>
      <w:r w:rsidRPr="000437C7">
        <w:rPr>
          <w:rFonts w:ascii="Times New Roman" w:hAnsi="Times New Roman" w:cs="Times New Roman"/>
          <w:sz w:val="24"/>
          <w:szCs w:val="24"/>
        </w:rPr>
        <w:t xml:space="preserve">(izvor 11); </w:t>
      </w:r>
    </w:p>
    <w:p w14:paraId="13030365" w14:textId="33ED73E4" w:rsidR="0029177C" w:rsidRPr="000C0F55" w:rsidRDefault="0029177C" w:rsidP="00AA4EFD">
      <w:pPr>
        <w:jc w:val="both"/>
        <w:rPr>
          <w:rFonts w:ascii="Times New Roman" w:hAnsi="Times New Roman" w:cs="Times New Roman"/>
          <w:sz w:val="24"/>
          <w:szCs w:val="24"/>
        </w:rPr>
      </w:pPr>
      <w:r w:rsidRPr="000C0F55">
        <w:rPr>
          <w:rFonts w:ascii="Times New Roman" w:hAnsi="Times New Roman" w:cs="Times New Roman"/>
          <w:sz w:val="24"/>
          <w:szCs w:val="24"/>
        </w:rPr>
        <w:t xml:space="preserve">- materijalni, financijski rashodi i rashodi za nabavu dugotrajne imovine za održavanje redovnog poslovanja u iznosu od </w:t>
      </w:r>
      <w:r w:rsidR="00372573" w:rsidRPr="000C0F55">
        <w:rPr>
          <w:rFonts w:ascii="Times New Roman" w:hAnsi="Times New Roman" w:cs="Times New Roman"/>
          <w:sz w:val="24"/>
          <w:szCs w:val="24"/>
        </w:rPr>
        <w:t>152.074</w:t>
      </w:r>
      <w:r w:rsidR="000437C7" w:rsidRPr="000C0F55">
        <w:rPr>
          <w:rFonts w:ascii="Times New Roman" w:hAnsi="Times New Roman" w:cs="Times New Roman"/>
          <w:sz w:val="24"/>
          <w:szCs w:val="24"/>
        </w:rPr>
        <w:t xml:space="preserve"> </w:t>
      </w:r>
      <w:r w:rsidR="006538FA" w:rsidRPr="000C0F55">
        <w:rPr>
          <w:rFonts w:ascii="Times New Roman" w:hAnsi="Times New Roman" w:cs="Times New Roman"/>
          <w:sz w:val="24"/>
          <w:szCs w:val="24"/>
        </w:rPr>
        <w:t>€</w:t>
      </w:r>
      <w:r w:rsidRPr="000C0F55">
        <w:rPr>
          <w:rFonts w:ascii="Times New Roman" w:hAnsi="Times New Roman" w:cs="Times New Roman"/>
          <w:sz w:val="24"/>
          <w:szCs w:val="24"/>
        </w:rPr>
        <w:t>, od čega se najznačajniji materijalni rashodi</w:t>
      </w:r>
      <w:r w:rsidR="00443369" w:rsidRPr="000C0F55">
        <w:rPr>
          <w:rFonts w:ascii="Times New Roman" w:hAnsi="Times New Roman" w:cs="Times New Roman"/>
          <w:sz w:val="24"/>
          <w:szCs w:val="24"/>
        </w:rPr>
        <w:t xml:space="preserve">  u okviru ove aktivnosti</w:t>
      </w:r>
      <w:r w:rsidRPr="000C0F55">
        <w:rPr>
          <w:rFonts w:ascii="Times New Roman" w:hAnsi="Times New Roman" w:cs="Times New Roman"/>
          <w:sz w:val="24"/>
          <w:szCs w:val="24"/>
        </w:rPr>
        <w:t xml:space="preserve"> odnose na </w:t>
      </w:r>
      <w:r w:rsidR="006923E5" w:rsidRPr="000C0F55">
        <w:rPr>
          <w:rFonts w:ascii="Times New Roman" w:hAnsi="Times New Roman" w:cs="Times New Roman"/>
          <w:sz w:val="24"/>
          <w:szCs w:val="24"/>
        </w:rPr>
        <w:t xml:space="preserve">službena putovanja </w:t>
      </w:r>
      <w:r w:rsidR="001D3087" w:rsidRPr="000C0F55">
        <w:rPr>
          <w:rFonts w:ascii="Times New Roman" w:hAnsi="Times New Roman" w:cs="Times New Roman"/>
          <w:sz w:val="24"/>
          <w:szCs w:val="24"/>
        </w:rPr>
        <w:t>68.930</w:t>
      </w:r>
      <w:r w:rsidR="006923E5" w:rsidRPr="000C0F55">
        <w:rPr>
          <w:rFonts w:ascii="Times New Roman" w:hAnsi="Times New Roman" w:cs="Times New Roman"/>
          <w:sz w:val="24"/>
          <w:szCs w:val="24"/>
        </w:rPr>
        <w:t xml:space="preserve"> €</w:t>
      </w:r>
      <w:r w:rsidR="00A454CB" w:rsidRPr="000C0F55">
        <w:rPr>
          <w:rFonts w:ascii="Times New Roman" w:hAnsi="Times New Roman" w:cs="Times New Roman"/>
          <w:sz w:val="24"/>
          <w:szCs w:val="24"/>
        </w:rPr>
        <w:t xml:space="preserve"> (od </w:t>
      </w:r>
      <w:r w:rsidR="00443369" w:rsidRPr="000C0F55">
        <w:rPr>
          <w:rFonts w:ascii="Times New Roman" w:hAnsi="Times New Roman" w:cs="Times New Roman"/>
          <w:sz w:val="24"/>
          <w:szCs w:val="24"/>
        </w:rPr>
        <w:t>čega je</w:t>
      </w:r>
      <w:r w:rsidR="00A454CB" w:rsidRPr="000C0F55">
        <w:rPr>
          <w:rFonts w:ascii="Times New Roman" w:hAnsi="Times New Roman" w:cs="Times New Roman"/>
          <w:sz w:val="24"/>
          <w:szCs w:val="24"/>
        </w:rPr>
        <w:t xml:space="preserve"> </w:t>
      </w:r>
      <w:r w:rsidR="001D3087" w:rsidRPr="000C0F55">
        <w:rPr>
          <w:rFonts w:ascii="Times New Roman" w:hAnsi="Times New Roman" w:cs="Times New Roman"/>
          <w:sz w:val="24"/>
          <w:szCs w:val="24"/>
        </w:rPr>
        <w:t xml:space="preserve">32.094 </w:t>
      </w:r>
      <w:r w:rsidR="00A454CB" w:rsidRPr="000C0F55">
        <w:rPr>
          <w:rFonts w:ascii="Times New Roman" w:hAnsi="Times New Roman" w:cs="Times New Roman"/>
          <w:sz w:val="24"/>
          <w:szCs w:val="24"/>
        </w:rPr>
        <w:t>€ refundira</w:t>
      </w:r>
      <w:r w:rsidR="00D94E89" w:rsidRPr="000C0F55">
        <w:rPr>
          <w:rFonts w:ascii="Times New Roman" w:hAnsi="Times New Roman" w:cs="Times New Roman"/>
          <w:sz w:val="24"/>
          <w:szCs w:val="24"/>
        </w:rPr>
        <w:t>no od strane europskih i međunarodnih organizacija</w:t>
      </w:r>
      <w:r w:rsidR="00A454CB" w:rsidRPr="000C0F55">
        <w:rPr>
          <w:rFonts w:ascii="Times New Roman" w:hAnsi="Times New Roman" w:cs="Times New Roman"/>
          <w:sz w:val="24"/>
          <w:szCs w:val="24"/>
        </w:rPr>
        <w:t>)</w:t>
      </w:r>
      <w:r w:rsidR="006923E5" w:rsidRPr="000C0F55">
        <w:rPr>
          <w:rFonts w:ascii="Times New Roman" w:hAnsi="Times New Roman" w:cs="Times New Roman"/>
          <w:sz w:val="24"/>
          <w:szCs w:val="24"/>
        </w:rPr>
        <w:t>,</w:t>
      </w:r>
      <w:r w:rsidR="006A4087" w:rsidRPr="000C0F55">
        <w:rPr>
          <w:rFonts w:ascii="Times New Roman" w:hAnsi="Times New Roman" w:cs="Times New Roman"/>
          <w:sz w:val="24"/>
          <w:szCs w:val="24"/>
        </w:rPr>
        <w:t xml:space="preserve"> troškove sudskih postupaka 15.936 €,</w:t>
      </w:r>
      <w:r w:rsidR="006923E5" w:rsidRPr="000C0F55">
        <w:rPr>
          <w:rFonts w:ascii="Times New Roman" w:hAnsi="Times New Roman" w:cs="Times New Roman"/>
          <w:sz w:val="24"/>
          <w:szCs w:val="24"/>
        </w:rPr>
        <w:t xml:space="preserve"> </w:t>
      </w:r>
      <w:r w:rsidR="006A4087" w:rsidRPr="000C0F55">
        <w:rPr>
          <w:rFonts w:ascii="Times New Roman" w:hAnsi="Times New Roman" w:cs="Times New Roman"/>
          <w:sz w:val="24"/>
          <w:szCs w:val="24"/>
        </w:rPr>
        <w:t xml:space="preserve">stručno usavršavanje zaposlenika 9.589 €, zdravstvene usluge (sistematskih pregleda službenika) 6.837 €, </w:t>
      </w:r>
      <w:r w:rsidR="00A454CB" w:rsidRPr="000C0F55">
        <w:rPr>
          <w:rFonts w:ascii="Times New Roman" w:hAnsi="Times New Roman" w:cs="Times New Roman"/>
          <w:sz w:val="24"/>
          <w:szCs w:val="24"/>
        </w:rPr>
        <w:t xml:space="preserve">usluge telefona, pošte i prijevoza </w:t>
      </w:r>
      <w:r w:rsidR="006A4087" w:rsidRPr="000C0F55">
        <w:rPr>
          <w:rFonts w:ascii="Times New Roman" w:hAnsi="Times New Roman" w:cs="Times New Roman"/>
          <w:sz w:val="24"/>
          <w:szCs w:val="24"/>
        </w:rPr>
        <w:t>6.355</w:t>
      </w:r>
      <w:r w:rsidR="00A454CB" w:rsidRPr="000C0F55">
        <w:rPr>
          <w:rFonts w:ascii="Times New Roman" w:hAnsi="Times New Roman" w:cs="Times New Roman"/>
          <w:sz w:val="24"/>
          <w:szCs w:val="24"/>
        </w:rPr>
        <w:t xml:space="preserve"> €, </w:t>
      </w:r>
      <w:r w:rsidR="00992191" w:rsidRPr="000C0F55">
        <w:rPr>
          <w:rFonts w:ascii="Times New Roman" w:hAnsi="Times New Roman" w:cs="Times New Roman"/>
          <w:sz w:val="24"/>
          <w:szCs w:val="24"/>
        </w:rPr>
        <w:t xml:space="preserve">zakupnine i najamnine (prvenstveno ispisnih uređaja) </w:t>
      </w:r>
      <w:r w:rsidR="001F2482" w:rsidRPr="000C0F55">
        <w:rPr>
          <w:rFonts w:ascii="Times New Roman" w:hAnsi="Times New Roman" w:cs="Times New Roman"/>
          <w:sz w:val="24"/>
          <w:szCs w:val="24"/>
        </w:rPr>
        <w:t>6.721</w:t>
      </w:r>
      <w:r w:rsidR="00992191" w:rsidRPr="000C0F55">
        <w:rPr>
          <w:rFonts w:ascii="Times New Roman" w:hAnsi="Times New Roman" w:cs="Times New Roman"/>
          <w:sz w:val="24"/>
          <w:szCs w:val="24"/>
        </w:rPr>
        <w:t xml:space="preserve"> €, </w:t>
      </w:r>
      <w:r w:rsidRPr="000C0F55">
        <w:rPr>
          <w:rFonts w:ascii="Times New Roman" w:hAnsi="Times New Roman" w:cs="Times New Roman"/>
          <w:sz w:val="24"/>
          <w:szCs w:val="24"/>
        </w:rPr>
        <w:t xml:space="preserve">računalne usluge </w:t>
      </w:r>
      <w:r w:rsidR="001F2482" w:rsidRPr="000C0F55">
        <w:rPr>
          <w:rFonts w:ascii="Times New Roman" w:hAnsi="Times New Roman" w:cs="Times New Roman"/>
          <w:sz w:val="24"/>
          <w:szCs w:val="24"/>
        </w:rPr>
        <w:t>6.390</w:t>
      </w:r>
      <w:r w:rsidR="006538FA" w:rsidRPr="000C0F55">
        <w:rPr>
          <w:rFonts w:ascii="Times New Roman" w:hAnsi="Times New Roman" w:cs="Times New Roman"/>
          <w:sz w:val="24"/>
          <w:szCs w:val="24"/>
        </w:rPr>
        <w:t xml:space="preserve"> </w:t>
      </w:r>
      <w:r w:rsidR="0014148E" w:rsidRPr="000C0F55">
        <w:rPr>
          <w:rFonts w:ascii="Times New Roman" w:hAnsi="Times New Roman" w:cs="Times New Roman"/>
          <w:sz w:val="24"/>
          <w:szCs w:val="24"/>
        </w:rPr>
        <w:t>€</w:t>
      </w:r>
      <w:r w:rsidRPr="000C0F55">
        <w:rPr>
          <w:rFonts w:ascii="Times New Roman" w:hAnsi="Times New Roman" w:cs="Times New Roman"/>
          <w:sz w:val="24"/>
          <w:szCs w:val="24"/>
        </w:rPr>
        <w:t xml:space="preserve">, </w:t>
      </w:r>
      <w:r w:rsidR="006923E5" w:rsidRPr="000C0F55">
        <w:rPr>
          <w:rFonts w:ascii="Times New Roman" w:hAnsi="Times New Roman" w:cs="Times New Roman"/>
          <w:sz w:val="24"/>
          <w:szCs w:val="24"/>
        </w:rPr>
        <w:t xml:space="preserve">uredski materijal </w:t>
      </w:r>
      <w:r w:rsidR="001F2482" w:rsidRPr="000C0F55">
        <w:rPr>
          <w:rFonts w:ascii="Times New Roman" w:hAnsi="Times New Roman" w:cs="Times New Roman"/>
          <w:sz w:val="24"/>
          <w:szCs w:val="24"/>
        </w:rPr>
        <w:t>3.282</w:t>
      </w:r>
      <w:r w:rsidR="00A454CB" w:rsidRPr="000C0F55">
        <w:rPr>
          <w:rFonts w:ascii="Times New Roman" w:hAnsi="Times New Roman" w:cs="Times New Roman"/>
          <w:sz w:val="24"/>
          <w:szCs w:val="24"/>
        </w:rPr>
        <w:t xml:space="preserve"> €, naknade za rad predstavničkih i izvršnih tijela, povjerenstava i sl. </w:t>
      </w:r>
      <w:r w:rsidR="001F2482" w:rsidRPr="000C0F55">
        <w:rPr>
          <w:rFonts w:ascii="Times New Roman" w:hAnsi="Times New Roman" w:cs="Times New Roman"/>
          <w:sz w:val="24"/>
          <w:szCs w:val="24"/>
        </w:rPr>
        <w:t>3.255</w:t>
      </w:r>
      <w:r w:rsidR="00A454CB" w:rsidRPr="000C0F55">
        <w:rPr>
          <w:rFonts w:ascii="Times New Roman" w:hAnsi="Times New Roman" w:cs="Times New Roman"/>
          <w:sz w:val="24"/>
          <w:szCs w:val="24"/>
        </w:rPr>
        <w:t xml:space="preserve"> €, </w:t>
      </w:r>
      <w:r w:rsidRPr="000C0F55">
        <w:rPr>
          <w:rFonts w:ascii="Times New Roman" w:hAnsi="Times New Roman" w:cs="Times New Roman"/>
          <w:sz w:val="24"/>
          <w:szCs w:val="24"/>
        </w:rPr>
        <w:t xml:space="preserve">dok se </w:t>
      </w:r>
      <w:r w:rsidR="00AD601F" w:rsidRPr="000C0F55">
        <w:rPr>
          <w:rFonts w:ascii="Times New Roman" w:hAnsi="Times New Roman" w:cs="Times New Roman"/>
          <w:sz w:val="24"/>
          <w:szCs w:val="24"/>
        </w:rPr>
        <w:t xml:space="preserve">najznačajniji </w:t>
      </w:r>
      <w:r w:rsidRPr="000C0F55">
        <w:rPr>
          <w:rFonts w:ascii="Times New Roman" w:hAnsi="Times New Roman" w:cs="Times New Roman"/>
          <w:sz w:val="24"/>
          <w:szCs w:val="24"/>
        </w:rPr>
        <w:t xml:space="preserve">rashodi za nabavu dugotrajne imovine odnose na nabavu zamjenske opreme za grijanje, ventilaciju i hlađenje </w:t>
      </w:r>
      <w:r w:rsidR="001F2482" w:rsidRPr="000C0F55">
        <w:rPr>
          <w:rFonts w:ascii="Times New Roman" w:hAnsi="Times New Roman" w:cs="Times New Roman"/>
          <w:sz w:val="24"/>
          <w:szCs w:val="24"/>
        </w:rPr>
        <w:t>7.038</w:t>
      </w:r>
      <w:r w:rsidR="006923E5" w:rsidRPr="000C0F55">
        <w:rPr>
          <w:rFonts w:ascii="Times New Roman" w:hAnsi="Times New Roman" w:cs="Times New Roman"/>
          <w:sz w:val="24"/>
          <w:szCs w:val="24"/>
        </w:rPr>
        <w:t xml:space="preserve"> </w:t>
      </w:r>
      <w:r w:rsidR="0014148E" w:rsidRPr="000C0F55">
        <w:rPr>
          <w:rFonts w:ascii="Times New Roman" w:hAnsi="Times New Roman" w:cs="Times New Roman"/>
          <w:sz w:val="24"/>
          <w:szCs w:val="24"/>
        </w:rPr>
        <w:t>€</w:t>
      </w:r>
      <w:r w:rsidRPr="000C0F55">
        <w:rPr>
          <w:rFonts w:ascii="Times New Roman" w:hAnsi="Times New Roman" w:cs="Times New Roman"/>
          <w:sz w:val="24"/>
          <w:szCs w:val="24"/>
        </w:rPr>
        <w:t>;</w:t>
      </w:r>
    </w:p>
    <w:p w14:paraId="7AD2ED6B" w14:textId="63013A29" w:rsidR="0029177C" w:rsidRPr="000437C7" w:rsidRDefault="0029177C" w:rsidP="00AA4EFD">
      <w:pPr>
        <w:jc w:val="both"/>
        <w:rPr>
          <w:rFonts w:ascii="Times New Roman" w:hAnsi="Times New Roman" w:cs="Times New Roman"/>
          <w:sz w:val="24"/>
          <w:szCs w:val="24"/>
        </w:rPr>
      </w:pPr>
      <w:r w:rsidRPr="000437C7">
        <w:rPr>
          <w:rFonts w:ascii="Times New Roman" w:hAnsi="Times New Roman" w:cs="Times New Roman"/>
          <w:sz w:val="24"/>
          <w:szCs w:val="24"/>
        </w:rPr>
        <w:t xml:space="preserve">- rashodi za transfer propisanog dijela uplaćenih pristojbi i naknada u postupcima priznanja registracije prava industrijskog vlasništva temeljem međunarodnih ugovora prema Europskom patentnom uredu i Svjetskoj organizaciji za intelektualno vlasništvo u visini od </w:t>
      </w:r>
      <w:r w:rsidR="00B92342" w:rsidRPr="000437C7">
        <w:rPr>
          <w:rFonts w:ascii="Times New Roman" w:hAnsi="Times New Roman" w:cs="Times New Roman"/>
          <w:sz w:val="24"/>
          <w:szCs w:val="24"/>
        </w:rPr>
        <w:t>1.</w:t>
      </w:r>
      <w:r w:rsidR="000437C7" w:rsidRPr="000437C7">
        <w:rPr>
          <w:rFonts w:ascii="Times New Roman" w:hAnsi="Times New Roman" w:cs="Times New Roman"/>
          <w:sz w:val="24"/>
          <w:szCs w:val="24"/>
        </w:rPr>
        <w:t>295.984</w:t>
      </w:r>
      <w:r w:rsidR="00B92342" w:rsidRPr="000437C7">
        <w:rPr>
          <w:rFonts w:ascii="Times New Roman" w:hAnsi="Times New Roman" w:cs="Times New Roman"/>
          <w:sz w:val="24"/>
          <w:szCs w:val="24"/>
        </w:rPr>
        <w:t xml:space="preserve"> € </w:t>
      </w:r>
      <w:r w:rsidRPr="000437C7">
        <w:rPr>
          <w:rFonts w:ascii="Times New Roman" w:hAnsi="Times New Roman" w:cs="Times New Roman"/>
          <w:sz w:val="24"/>
          <w:szCs w:val="24"/>
        </w:rPr>
        <w:t xml:space="preserve"> (izvor 43)</w:t>
      </w:r>
      <w:r w:rsidR="00D50693">
        <w:rPr>
          <w:rFonts w:ascii="Times New Roman" w:hAnsi="Times New Roman" w:cs="Times New Roman"/>
          <w:sz w:val="24"/>
          <w:szCs w:val="24"/>
        </w:rPr>
        <w:t>.</w:t>
      </w:r>
    </w:p>
    <w:p w14:paraId="71FA56F7" w14:textId="77777777" w:rsidR="00BB70BF" w:rsidRPr="00A36417" w:rsidRDefault="00BB70BF" w:rsidP="007F610C">
      <w:pPr>
        <w:jc w:val="both"/>
        <w:rPr>
          <w:rFonts w:ascii="Times New Roman" w:hAnsi="Times New Roman" w:cs="Times New Roman"/>
          <w:color w:val="FF0000"/>
          <w:highlight w:val="yellow"/>
        </w:rPr>
      </w:pPr>
    </w:p>
    <w:p w14:paraId="2BE74814" w14:textId="7DA7CC95" w:rsidR="00BB70BF" w:rsidRPr="00C87B7A" w:rsidRDefault="00BB70BF" w:rsidP="0079377D">
      <w:pPr>
        <w:pStyle w:val="Heading3"/>
        <w:rPr>
          <w:rFonts w:cs="Times New Roman"/>
          <w:lang w:val="hr-HR"/>
        </w:rPr>
      </w:pPr>
      <w:r w:rsidRPr="00C87B7A">
        <w:rPr>
          <w:rFonts w:cs="Times New Roman"/>
          <w:lang w:val="hr-HR"/>
        </w:rPr>
        <w:t xml:space="preserve">T763005 SURADNJA DZIV-a S </w:t>
      </w:r>
      <w:r w:rsidR="00013AFC" w:rsidRPr="00C87B7A">
        <w:rPr>
          <w:rFonts w:cs="Times New Roman"/>
          <w:lang w:val="hr-HR"/>
        </w:rPr>
        <w:t xml:space="preserve">EUROPSKIM </w:t>
      </w:r>
      <w:r w:rsidRPr="00C87B7A">
        <w:rPr>
          <w:rFonts w:cs="Times New Roman"/>
          <w:lang w:val="hr-HR"/>
        </w:rPr>
        <w:t xml:space="preserve">UREDOM ZA </w:t>
      </w:r>
      <w:r w:rsidR="00013AFC" w:rsidRPr="00C87B7A">
        <w:rPr>
          <w:rFonts w:cs="Times New Roman"/>
          <w:lang w:val="hr-HR"/>
        </w:rPr>
        <w:t>ŽIGOVE I DIZAJN</w:t>
      </w:r>
    </w:p>
    <w:p w14:paraId="38F68F6F" w14:textId="4A7A387C" w:rsidR="00BB70BF" w:rsidRPr="00A36417" w:rsidRDefault="00013AFC" w:rsidP="007F610C">
      <w:pPr>
        <w:rPr>
          <w:rFonts w:cstheme="minorHAnsi"/>
          <w:color w:val="FF0000"/>
          <w:highlight w:val="yellow"/>
        </w:rPr>
      </w:pPr>
      <w:r w:rsidRPr="00A36417">
        <w:rPr>
          <w:rFonts w:eastAsia="Calibri" w:cstheme="minorHAnsi"/>
          <w:color w:val="FF0000"/>
          <w:highlight w:val="yellow"/>
        </w:rPr>
        <w:t xml:space="preserve"> </w:t>
      </w:r>
    </w:p>
    <w:tbl>
      <w:tblPr>
        <w:tblStyle w:val="StilTablice"/>
        <w:tblW w:w="9508" w:type="dxa"/>
        <w:jc w:val="center"/>
        <w:tblLook w:val="04A0" w:firstRow="1" w:lastRow="0" w:firstColumn="1" w:lastColumn="0" w:noHBand="0" w:noVBand="1"/>
      </w:tblPr>
      <w:tblGrid>
        <w:gridCol w:w="1505"/>
        <w:gridCol w:w="1603"/>
        <w:gridCol w:w="1600"/>
        <w:gridCol w:w="1600"/>
        <w:gridCol w:w="1600"/>
        <w:gridCol w:w="1600"/>
      </w:tblGrid>
      <w:tr w:rsidR="00111E3D" w:rsidRPr="00A36417" w14:paraId="134981D9" w14:textId="77777777" w:rsidTr="003D15EB">
        <w:trPr>
          <w:jc w:val="center"/>
        </w:trPr>
        <w:tc>
          <w:tcPr>
            <w:tcW w:w="1505" w:type="dxa"/>
            <w:shd w:val="clear" w:color="auto" w:fill="B5C0D8"/>
          </w:tcPr>
          <w:p w14:paraId="420D1F2A" w14:textId="77777777" w:rsidR="00111E3D" w:rsidRPr="00A36417" w:rsidRDefault="00111E3D" w:rsidP="00111E3D">
            <w:pPr>
              <w:jc w:val="both"/>
              <w:rPr>
                <w:rFonts w:cs="Times New Roman"/>
                <w:color w:val="FF0000"/>
                <w:szCs w:val="20"/>
                <w:highlight w:val="yellow"/>
              </w:rPr>
            </w:pPr>
          </w:p>
          <w:p w14:paraId="65E957C9" w14:textId="5630DB9C" w:rsidR="00111E3D" w:rsidRPr="00A36417" w:rsidRDefault="00111E3D" w:rsidP="00111E3D">
            <w:pPr>
              <w:jc w:val="both"/>
              <w:rPr>
                <w:rFonts w:cs="Times New Roman"/>
                <w:color w:val="FF0000"/>
                <w:highlight w:val="yellow"/>
              </w:rPr>
            </w:pPr>
          </w:p>
        </w:tc>
        <w:tc>
          <w:tcPr>
            <w:tcW w:w="1603" w:type="dxa"/>
            <w:shd w:val="clear" w:color="auto" w:fill="B5C0D8"/>
          </w:tcPr>
          <w:p w14:paraId="43D99848" w14:textId="56CF9B85" w:rsidR="00111E3D" w:rsidRPr="00C87B7A" w:rsidRDefault="00111E3D" w:rsidP="00111E3D">
            <w:pPr>
              <w:rPr>
                <w:rFonts w:cs="Times New Roman"/>
                <w:color w:val="FF0000"/>
              </w:rPr>
            </w:pPr>
            <w:r w:rsidRPr="00C87B7A">
              <w:rPr>
                <w:rFonts w:cs="Times New Roman"/>
              </w:rPr>
              <w:t>Izvršenje 202</w:t>
            </w:r>
            <w:r w:rsidR="00C87B7A" w:rsidRPr="00C87B7A">
              <w:rPr>
                <w:rFonts w:cs="Times New Roman"/>
              </w:rPr>
              <w:t>4</w:t>
            </w:r>
            <w:r w:rsidRPr="00C87B7A">
              <w:rPr>
                <w:rFonts w:cs="Times New Roman"/>
              </w:rPr>
              <w:t>.</w:t>
            </w:r>
          </w:p>
        </w:tc>
        <w:tc>
          <w:tcPr>
            <w:tcW w:w="1600" w:type="dxa"/>
            <w:shd w:val="clear" w:color="auto" w:fill="B5C0D8"/>
          </w:tcPr>
          <w:p w14:paraId="0DB3C8F8" w14:textId="677FC6AD" w:rsidR="00111E3D" w:rsidRPr="00C87B7A" w:rsidRDefault="00111E3D" w:rsidP="00111E3D">
            <w:pPr>
              <w:rPr>
                <w:rFonts w:cs="Times New Roman"/>
                <w:color w:val="FF0000"/>
              </w:rPr>
            </w:pPr>
            <w:r w:rsidRPr="00C87B7A">
              <w:rPr>
                <w:rFonts w:cs="Times New Roman"/>
              </w:rPr>
              <w:t>Plan 202</w:t>
            </w:r>
            <w:r w:rsidR="00C87B7A" w:rsidRPr="00C87B7A">
              <w:rPr>
                <w:rFonts w:cs="Times New Roman"/>
              </w:rPr>
              <w:t>5</w:t>
            </w:r>
            <w:r w:rsidRPr="00C87B7A">
              <w:rPr>
                <w:rFonts w:cs="Times New Roman"/>
              </w:rPr>
              <w:t>.</w:t>
            </w:r>
          </w:p>
        </w:tc>
        <w:tc>
          <w:tcPr>
            <w:tcW w:w="1600" w:type="dxa"/>
            <w:shd w:val="clear" w:color="auto" w:fill="B5C0D8"/>
          </w:tcPr>
          <w:p w14:paraId="45317828" w14:textId="0D74C65A" w:rsidR="00111E3D" w:rsidRPr="00C87B7A" w:rsidRDefault="00111E3D" w:rsidP="00111E3D">
            <w:pPr>
              <w:rPr>
                <w:rFonts w:cs="Times New Roman"/>
                <w:color w:val="FF0000"/>
              </w:rPr>
            </w:pPr>
            <w:r w:rsidRPr="00C87B7A">
              <w:rPr>
                <w:rFonts w:cs="Times New Roman"/>
              </w:rPr>
              <w:t>Izvršenje 202</w:t>
            </w:r>
            <w:r w:rsidR="00C87B7A" w:rsidRPr="00C87B7A">
              <w:rPr>
                <w:rFonts w:cs="Times New Roman"/>
              </w:rPr>
              <w:t>5</w:t>
            </w:r>
            <w:r w:rsidRPr="00C87B7A">
              <w:rPr>
                <w:rFonts w:cs="Times New Roman"/>
              </w:rPr>
              <w:t>.</w:t>
            </w:r>
          </w:p>
        </w:tc>
        <w:tc>
          <w:tcPr>
            <w:tcW w:w="1600" w:type="dxa"/>
            <w:shd w:val="clear" w:color="auto" w:fill="B5C0D8"/>
          </w:tcPr>
          <w:p w14:paraId="15DB7ADD" w14:textId="5F4852E7" w:rsidR="00111E3D" w:rsidRPr="00C87B7A" w:rsidRDefault="00111E3D" w:rsidP="00111E3D">
            <w:pPr>
              <w:rPr>
                <w:rFonts w:cs="Times New Roman"/>
                <w:color w:val="FF0000"/>
              </w:rPr>
            </w:pPr>
            <w:r w:rsidRPr="00C87B7A">
              <w:rPr>
                <w:rFonts w:cs="Times New Roman"/>
              </w:rPr>
              <w:t>Indeks izvršenja 202</w:t>
            </w:r>
            <w:r w:rsidR="00C87B7A" w:rsidRPr="00C87B7A">
              <w:rPr>
                <w:rFonts w:cs="Times New Roman"/>
              </w:rPr>
              <w:t>5</w:t>
            </w:r>
            <w:r w:rsidRPr="00C87B7A">
              <w:rPr>
                <w:rFonts w:cs="Times New Roman"/>
              </w:rPr>
              <w:t>./plan 202</w:t>
            </w:r>
            <w:r w:rsidR="00C87B7A" w:rsidRPr="00C87B7A">
              <w:rPr>
                <w:rFonts w:cs="Times New Roman"/>
              </w:rPr>
              <w:t>5</w:t>
            </w:r>
            <w:r w:rsidRPr="00C87B7A">
              <w:rPr>
                <w:rFonts w:cs="Times New Roman"/>
              </w:rPr>
              <w:t>.</w:t>
            </w:r>
          </w:p>
        </w:tc>
        <w:tc>
          <w:tcPr>
            <w:tcW w:w="1600" w:type="dxa"/>
            <w:shd w:val="clear" w:color="auto" w:fill="B5C0D8"/>
          </w:tcPr>
          <w:p w14:paraId="20052C15" w14:textId="07460E75" w:rsidR="00111E3D" w:rsidRPr="00C87B7A" w:rsidRDefault="00111E3D" w:rsidP="00111E3D">
            <w:pPr>
              <w:rPr>
                <w:rFonts w:cs="Times New Roman"/>
                <w:color w:val="FF0000"/>
              </w:rPr>
            </w:pPr>
            <w:r w:rsidRPr="00C87B7A">
              <w:rPr>
                <w:rFonts w:cs="Times New Roman"/>
              </w:rPr>
              <w:t>Indeks izvršenja 202</w:t>
            </w:r>
            <w:r w:rsidR="00C87B7A" w:rsidRPr="00C87B7A">
              <w:rPr>
                <w:rFonts w:cs="Times New Roman"/>
              </w:rPr>
              <w:t>5</w:t>
            </w:r>
            <w:r w:rsidRPr="00C87B7A">
              <w:rPr>
                <w:rFonts w:cs="Times New Roman"/>
              </w:rPr>
              <w:t>./202</w:t>
            </w:r>
            <w:r w:rsidR="00C87B7A" w:rsidRPr="00C87B7A">
              <w:rPr>
                <w:rFonts w:cs="Times New Roman"/>
              </w:rPr>
              <w:t>4</w:t>
            </w:r>
            <w:r w:rsidRPr="00C87B7A">
              <w:rPr>
                <w:rFonts w:cs="Times New Roman"/>
              </w:rPr>
              <w:t>.</w:t>
            </w:r>
          </w:p>
        </w:tc>
      </w:tr>
      <w:tr w:rsidR="003D15EB" w:rsidRPr="00A36417" w14:paraId="44E0340F" w14:textId="77777777" w:rsidTr="003D15EB">
        <w:trPr>
          <w:jc w:val="center"/>
        </w:trPr>
        <w:tc>
          <w:tcPr>
            <w:tcW w:w="1505" w:type="dxa"/>
            <w:vAlign w:val="top"/>
          </w:tcPr>
          <w:p w14:paraId="06070CEC" w14:textId="77777777" w:rsidR="003D15EB" w:rsidRPr="00203D72" w:rsidRDefault="003D15EB" w:rsidP="007F610C">
            <w:pPr>
              <w:rPr>
                <w:rFonts w:cs="Times New Roman"/>
              </w:rPr>
            </w:pPr>
            <w:r w:rsidRPr="00203D72">
              <w:rPr>
                <w:rFonts w:cs="Times New Roman"/>
              </w:rPr>
              <w:t>T763005</w:t>
            </w:r>
          </w:p>
        </w:tc>
        <w:tc>
          <w:tcPr>
            <w:tcW w:w="1603" w:type="dxa"/>
            <w:vAlign w:val="top"/>
          </w:tcPr>
          <w:p w14:paraId="5787635B" w14:textId="329EE952" w:rsidR="003D15EB" w:rsidRPr="00203D72" w:rsidRDefault="00203D72" w:rsidP="00073ED9">
            <w:pPr>
              <w:jc w:val="right"/>
              <w:rPr>
                <w:rFonts w:cs="Times New Roman"/>
              </w:rPr>
            </w:pPr>
            <w:r w:rsidRPr="00203D72">
              <w:rPr>
                <w:rFonts w:cs="Times New Roman"/>
              </w:rPr>
              <w:t>440.354</w:t>
            </w:r>
          </w:p>
        </w:tc>
        <w:tc>
          <w:tcPr>
            <w:tcW w:w="1600" w:type="dxa"/>
            <w:vAlign w:val="top"/>
          </w:tcPr>
          <w:p w14:paraId="7FFB834B" w14:textId="3ECC2674" w:rsidR="003D15EB" w:rsidRPr="00203D72" w:rsidRDefault="00203D72" w:rsidP="00073ED9">
            <w:pPr>
              <w:jc w:val="right"/>
              <w:rPr>
                <w:rFonts w:cs="Times New Roman"/>
              </w:rPr>
            </w:pPr>
            <w:r w:rsidRPr="00203D72">
              <w:rPr>
                <w:rFonts w:cs="Times New Roman"/>
              </w:rPr>
              <w:t>930.599</w:t>
            </w:r>
          </w:p>
        </w:tc>
        <w:tc>
          <w:tcPr>
            <w:tcW w:w="1600" w:type="dxa"/>
            <w:vAlign w:val="top"/>
          </w:tcPr>
          <w:p w14:paraId="6EE8C5AF" w14:textId="5EE3374E" w:rsidR="003D15EB" w:rsidRPr="00203D72" w:rsidRDefault="00203D72" w:rsidP="00073ED9">
            <w:pPr>
              <w:jc w:val="right"/>
              <w:rPr>
                <w:rFonts w:cs="Times New Roman"/>
              </w:rPr>
            </w:pPr>
            <w:r w:rsidRPr="00203D72">
              <w:rPr>
                <w:rFonts w:cs="Times New Roman"/>
              </w:rPr>
              <w:t>476.036</w:t>
            </w:r>
          </w:p>
        </w:tc>
        <w:tc>
          <w:tcPr>
            <w:tcW w:w="1600" w:type="dxa"/>
            <w:vAlign w:val="top"/>
          </w:tcPr>
          <w:p w14:paraId="72F4CB13" w14:textId="34B1CB4E" w:rsidR="003D15EB" w:rsidRPr="00203D72" w:rsidRDefault="00E31F9C" w:rsidP="00073ED9">
            <w:pPr>
              <w:jc w:val="right"/>
              <w:rPr>
                <w:rFonts w:cs="Times New Roman"/>
              </w:rPr>
            </w:pPr>
            <w:r w:rsidRPr="00203D72">
              <w:rPr>
                <w:rFonts w:cs="Times New Roman"/>
              </w:rPr>
              <w:t>5</w:t>
            </w:r>
            <w:r w:rsidR="00203D72" w:rsidRPr="00203D72">
              <w:rPr>
                <w:rFonts w:cs="Times New Roman"/>
              </w:rPr>
              <w:t>1</w:t>
            </w:r>
            <w:r w:rsidRPr="00203D72">
              <w:rPr>
                <w:rFonts w:cs="Times New Roman"/>
              </w:rPr>
              <w:t>,</w:t>
            </w:r>
            <w:r w:rsidR="00203D72" w:rsidRPr="00203D72">
              <w:rPr>
                <w:rFonts w:cs="Times New Roman"/>
              </w:rPr>
              <w:t>2</w:t>
            </w:r>
          </w:p>
        </w:tc>
        <w:tc>
          <w:tcPr>
            <w:tcW w:w="1600" w:type="dxa"/>
            <w:vAlign w:val="top"/>
          </w:tcPr>
          <w:p w14:paraId="341F8586" w14:textId="7A4A56D4" w:rsidR="003D15EB" w:rsidRPr="00203D72" w:rsidRDefault="0027604F" w:rsidP="00073ED9">
            <w:pPr>
              <w:jc w:val="right"/>
              <w:rPr>
                <w:rFonts w:cs="Times New Roman"/>
              </w:rPr>
            </w:pPr>
            <w:r w:rsidRPr="00203D72">
              <w:rPr>
                <w:rFonts w:cs="Times New Roman"/>
              </w:rPr>
              <w:t>1</w:t>
            </w:r>
            <w:r w:rsidR="00203D72" w:rsidRPr="00203D72">
              <w:rPr>
                <w:rFonts w:cs="Times New Roman"/>
              </w:rPr>
              <w:t>08</w:t>
            </w:r>
            <w:r w:rsidRPr="00203D72">
              <w:rPr>
                <w:rFonts w:cs="Times New Roman"/>
              </w:rPr>
              <w:t>,</w:t>
            </w:r>
            <w:r w:rsidR="00203D72" w:rsidRPr="00203D72">
              <w:rPr>
                <w:rFonts w:cs="Times New Roman"/>
              </w:rPr>
              <w:t>1</w:t>
            </w:r>
          </w:p>
        </w:tc>
      </w:tr>
    </w:tbl>
    <w:p w14:paraId="683A03BB" w14:textId="4DD5CAA2" w:rsidR="00BB70BF" w:rsidRPr="00A36417" w:rsidRDefault="00BB70BF" w:rsidP="007F610C">
      <w:pPr>
        <w:rPr>
          <w:rFonts w:cstheme="minorHAnsi"/>
          <w:color w:val="FF0000"/>
          <w:highlight w:val="yellow"/>
        </w:rPr>
      </w:pPr>
    </w:p>
    <w:p w14:paraId="22A0FAA4" w14:textId="77777777" w:rsidR="0029177C" w:rsidRPr="00C87B7A" w:rsidRDefault="0029177C" w:rsidP="00AA4EFD">
      <w:pPr>
        <w:keepNext/>
        <w:keepLine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outlineLvl w:val="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7B7A">
        <w:rPr>
          <w:rFonts w:ascii="Times New Roman" w:eastAsia="Times New Roman" w:hAnsi="Times New Roman" w:cs="Times New Roman"/>
          <w:b/>
          <w:sz w:val="24"/>
          <w:szCs w:val="24"/>
        </w:rPr>
        <w:t>Zakonske i druge pravne osnove</w:t>
      </w:r>
    </w:p>
    <w:p w14:paraId="1DCB7DAC" w14:textId="1E63C53B" w:rsidR="0029177C" w:rsidRPr="006664B9" w:rsidRDefault="0029177C" w:rsidP="00AA4EFD">
      <w:pPr>
        <w:jc w:val="both"/>
        <w:rPr>
          <w:rFonts w:ascii="Times New Roman" w:hAnsi="Times New Roman" w:cs="Times New Roman"/>
          <w:sz w:val="24"/>
          <w:szCs w:val="24"/>
        </w:rPr>
      </w:pPr>
      <w:r w:rsidRPr="00C87B7A">
        <w:rPr>
          <w:rFonts w:ascii="Times New Roman" w:hAnsi="Times New Roman" w:cs="Times New Roman"/>
          <w:sz w:val="24"/>
          <w:szCs w:val="24"/>
        </w:rPr>
        <w:t xml:space="preserve">Uredba (EU) 2017/1001 Europskog parlamenta i Vijeća od 14. lipnja 2017. o žigu Europske </w:t>
      </w:r>
      <w:r w:rsidRPr="006664B9">
        <w:rPr>
          <w:rFonts w:ascii="Times New Roman" w:hAnsi="Times New Roman" w:cs="Times New Roman"/>
          <w:sz w:val="24"/>
          <w:szCs w:val="24"/>
        </w:rPr>
        <w:t>unije, članak 152.</w:t>
      </w:r>
      <w:r w:rsidR="00D50693">
        <w:rPr>
          <w:rFonts w:ascii="Times New Roman" w:hAnsi="Times New Roman" w:cs="Times New Roman"/>
          <w:sz w:val="24"/>
          <w:szCs w:val="24"/>
        </w:rPr>
        <w:t xml:space="preserve"> i </w:t>
      </w:r>
      <w:r w:rsidR="00D50693" w:rsidRPr="00D50693">
        <w:rPr>
          <w:rFonts w:ascii="Times New Roman" w:hAnsi="Times New Roman" w:cs="Times New Roman"/>
          <w:sz w:val="24"/>
          <w:szCs w:val="24"/>
        </w:rPr>
        <w:t>172.</w:t>
      </w:r>
    </w:p>
    <w:p w14:paraId="6B25B270" w14:textId="0B426D71" w:rsidR="00AA4EFD" w:rsidRPr="006664B9" w:rsidRDefault="00AA4EFD" w:rsidP="00AA4EF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64B9">
        <w:rPr>
          <w:rFonts w:ascii="Times New Roman" w:hAnsi="Times New Roman" w:cs="Times New Roman"/>
          <w:b/>
          <w:bCs/>
          <w:sz w:val="24"/>
          <w:szCs w:val="24"/>
        </w:rPr>
        <w:t>Opis aktivnosti</w:t>
      </w:r>
    </w:p>
    <w:p w14:paraId="539B4146" w14:textId="0976CA9A" w:rsidR="006777BD" w:rsidRDefault="00AA4EFD" w:rsidP="00AA4EFD">
      <w:pPr>
        <w:jc w:val="both"/>
        <w:rPr>
          <w:rFonts w:ascii="Times New Roman" w:hAnsi="Times New Roman" w:cs="Times New Roman"/>
          <w:sz w:val="24"/>
          <w:szCs w:val="24"/>
        </w:rPr>
      </w:pPr>
      <w:r w:rsidRPr="006664B9">
        <w:rPr>
          <w:rFonts w:ascii="Times New Roman" w:hAnsi="Times New Roman" w:cs="Times New Roman"/>
          <w:sz w:val="24"/>
          <w:szCs w:val="24"/>
        </w:rPr>
        <w:t>Temeljem ugovora o suradnji s Uredom Europske unije za intelektualno vlasništvo (EUIPO) i Državnog zavoda za intelektualno vlasništvo, koji se sklapa na godišnjoj razini, u 202</w:t>
      </w:r>
      <w:r w:rsidR="006664B9" w:rsidRPr="006664B9">
        <w:rPr>
          <w:rFonts w:ascii="Times New Roman" w:hAnsi="Times New Roman" w:cs="Times New Roman"/>
          <w:sz w:val="24"/>
          <w:szCs w:val="24"/>
        </w:rPr>
        <w:t>5</w:t>
      </w:r>
      <w:r w:rsidRPr="006664B9">
        <w:rPr>
          <w:rFonts w:ascii="Times New Roman" w:hAnsi="Times New Roman" w:cs="Times New Roman"/>
          <w:sz w:val="24"/>
          <w:szCs w:val="24"/>
        </w:rPr>
        <w:t xml:space="preserve">. godini ostvarena je suradnja na provedbi aktivnosti u okviru slijedećih europskih projekata suradnje </w:t>
      </w:r>
      <w:r w:rsidRPr="00DF0098">
        <w:rPr>
          <w:rFonts w:ascii="Times New Roman" w:hAnsi="Times New Roman" w:cs="Times New Roman"/>
          <w:sz w:val="24"/>
          <w:szCs w:val="24"/>
        </w:rPr>
        <w:t>(</w:t>
      </w:r>
      <w:r w:rsidRPr="00DF0098">
        <w:rPr>
          <w:rFonts w:ascii="Times New Roman" w:hAnsi="Times New Roman" w:cs="Times New Roman"/>
          <w:i/>
          <w:sz w:val="24"/>
          <w:szCs w:val="24"/>
        </w:rPr>
        <w:t xml:space="preserve">European </w:t>
      </w:r>
      <w:proofErr w:type="spellStart"/>
      <w:r w:rsidRPr="00DF0098">
        <w:rPr>
          <w:rFonts w:ascii="Times New Roman" w:hAnsi="Times New Roman" w:cs="Times New Roman"/>
          <w:i/>
          <w:sz w:val="24"/>
          <w:szCs w:val="24"/>
        </w:rPr>
        <w:t>Cooperation</w:t>
      </w:r>
      <w:proofErr w:type="spellEnd"/>
      <w:r w:rsidRPr="00DF0098">
        <w:rPr>
          <w:rFonts w:ascii="Times New Roman" w:hAnsi="Times New Roman" w:cs="Times New Roman"/>
          <w:i/>
          <w:sz w:val="24"/>
          <w:szCs w:val="24"/>
        </w:rPr>
        <w:t xml:space="preserve"> Project</w:t>
      </w:r>
      <w:r w:rsidRPr="00DF0098">
        <w:rPr>
          <w:rFonts w:ascii="Times New Roman" w:hAnsi="Times New Roman" w:cs="Times New Roman"/>
          <w:sz w:val="24"/>
          <w:szCs w:val="24"/>
        </w:rPr>
        <w:t xml:space="preserve"> - ECP): </w:t>
      </w:r>
      <w:r w:rsidR="006777BD">
        <w:rPr>
          <w:rFonts w:ascii="Times New Roman" w:hAnsi="Times New Roman" w:cs="Times New Roman"/>
          <w:sz w:val="24"/>
          <w:szCs w:val="24"/>
        </w:rPr>
        <w:t>ECP1</w:t>
      </w:r>
      <w:r w:rsidR="00281CC0">
        <w:rPr>
          <w:rFonts w:ascii="Times New Roman" w:hAnsi="Times New Roman" w:cs="Times New Roman"/>
          <w:sz w:val="24"/>
          <w:szCs w:val="24"/>
        </w:rPr>
        <w:t xml:space="preserve"> </w:t>
      </w:r>
      <w:r w:rsidR="006777BD">
        <w:rPr>
          <w:rFonts w:ascii="Times New Roman" w:hAnsi="Times New Roman" w:cs="Times New Roman"/>
          <w:sz w:val="24"/>
          <w:szCs w:val="24"/>
        </w:rPr>
        <w:t>– Virtualne zajednice</w:t>
      </w:r>
      <w:r w:rsidR="00281CC0">
        <w:rPr>
          <w:rFonts w:ascii="Times New Roman" w:hAnsi="Times New Roman" w:cs="Times New Roman"/>
          <w:sz w:val="24"/>
          <w:szCs w:val="24"/>
        </w:rPr>
        <w:t xml:space="preserve"> (za</w:t>
      </w:r>
      <w:r w:rsidR="00804DB4">
        <w:rPr>
          <w:rFonts w:ascii="Times New Roman" w:hAnsi="Times New Roman" w:cs="Times New Roman"/>
          <w:sz w:val="24"/>
          <w:szCs w:val="24"/>
        </w:rPr>
        <w:t xml:space="preserve"> stručnu</w:t>
      </w:r>
      <w:r w:rsidR="00281CC0">
        <w:rPr>
          <w:rFonts w:ascii="Times New Roman" w:hAnsi="Times New Roman" w:cs="Times New Roman"/>
          <w:sz w:val="24"/>
          <w:szCs w:val="24"/>
        </w:rPr>
        <w:t xml:space="preserve"> suradnju </w:t>
      </w:r>
      <w:r w:rsidR="00804DB4">
        <w:rPr>
          <w:rFonts w:ascii="Times New Roman" w:hAnsi="Times New Roman" w:cs="Times New Roman"/>
          <w:sz w:val="24"/>
          <w:szCs w:val="24"/>
        </w:rPr>
        <w:t xml:space="preserve">iz različitih područja žigova, dizajna, zemljopisnih oznaka za obrtničke i industrijske proizvode, te korisničkih i drugih digitalnih sustava </w:t>
      </w:r>
      <w:r w:rsidR="00CE6931">
        <w:rPr>
          <w:rFonts w:ascii="Times New Roman" w:hAnsi="Times New Roman" w:cs="Times New Roman"/>
          <w:sz w:val="24"/>
          <w:szCs w:val="24"/>
        </w:rPr>
        <w:t>)</w:t>
      </w:r>
      <w:r w:rsidR="006777BD">
        <w:rPr>
          <w:rFonts w:ascii="Times New Roman" w:hAnsi="Times New Roman" w:cs="Times New Roman"/>
          <w:sz w:val="24"/>
          <w:szCs w:val="24"/>
        </w:rPr>
        <w:t xml:space="preserve">; </w:t>
      </w:r>
      <w:r w:rsidRPr="00DF0098">
        <w:rPr>
          <w:rFonts w:ascii="Times New Roman" w:hAnsi="Times New Roman" w:cs="Times New Roman"/>
          <w:sz w:val="24"/>
          <w:szCs w:val="24"/>
        </w:rPr>
        <w:t>ECP2</w:t>
      </w:r>
      <w:r w:rsidR="006777BD">
        <w:rPr>
          <w:rFonts w:ascii="Times New Roman" w:hAnsi="Times New Roman" w:cs="Times New Roman"/>
          <w:sz w:val="24"/>
          <w:szCs w:val="24"/>
        </w:rPr>
        <w:t>A</w:t>
      </w:r>
      <w:r w:rsidRPr="00DF0098">
        <w:rPr>
          <w:rFonts w:ascii="Times New Roman" w:hAnsi="Times New Roman" w:cs="Times New Roman"/>
          <w:sz w:val="24"/>
          <w:szCs w:val="24"/>
        </w:rPr>
        <w:t xml:space="preserve"> - Unaprjeđenje zajedničkih suradničkih servisa (sudjelovanje u radu radne grupe za unaprjeđenje korisničkih </w:t>
      </w:r>
      <w:r w:rsidR="009308B7" w:rsidRPr="00DF0098">
        <w:rPr>
          <w:rFonts w:ascii="Times New Roman" w:hAnsi="Times New Roman" w:cs="Times New Roman"/>
          <w:sz w:val="24"/>
          <w:szCs w:val="24"/>
        </w:rPr>
        <w:t>e-</w:t>
      </w:r>
      <w:r w:rsidRPr="00DF0098">
        <w:rPr>
          <w:rFonts w:ascii="Times New Roman" w:hAnsi="Times New Roman" w:cs="Times New Roman"/>
          <w:sz w:val="24"/>
          <w:szCs w:val="24"/>
        </w:rPr>
        <w:t xml:space="preserve">servisa </w:t>
      </w:r>
      <w:proofErr w:type="spellStart"/>
      <w:r w:rsidRPr="00DF0098">
        <w:rPr>
          <w:rFonts w:ascii="Times New Roman" w:hAnsi="Times New Roman" w:cs="Times New Roman"/>
          <w:sz w:val="24"/>
          <w:szCs w:val="24"/>
        </w:rPr>
        <w:t>TMView</w:t>
      </w:r>
      <w:proofErr w:type="spellEnd"/>
      <w:r w:rsidRPr="00DF0098">
        <w:rPr>
          <w:rFonts w:ascii="Times New Roman" w:hAnsi="Times New Roman" w:cs="Times New Roman"/>
          <w:sz w:val="24"/>
          <w:szCs w:val="24"/>
        </w:rPr>
        <w:t xml:space="preserve">  i </w:t>
      </w:r>
      <w:proofErr w:type="spellStart"/>
      <w:r w:rsidRPr="00DF0098">
        <w:rPr>
          <w:rFonts w:ascii="Times New Roman" w:hAnsi="Times New Roman" w:cs="Times New Roman"/>
          <w:sz w:val="24"/>
          <w:szCs w:val="24"/>
        </w:rPr>
        <w:t>Designview</w:t>
      </w:r>
      <w:proofErr w:type="spellEnd"/>
      <w:r w:rsidR="00DF0098">
        <w:rPr>
          <w:rFonts w:ascii="Times New Roman" w:hAnsi="Times New Roman" w:cs="Times New Roman"/>
          <w:sz w:val="24"/>
          <w:szCs w:val="24"/>
        </w:rPr>
        <w:t xml:space="preserve"> kao i</w:t>
      </w:r>
      <w:r w:rsidR="000B5DF1" w:rsidRPr="00DF0098">
        <w:rPr>
          <w:rFonts w:ascii="Times New Roman" w:hAnsi="Times New Roman" w:cs="Times New Roman"/>
          <w:sz w:val="24"/>
          <w:szCs w:val="24"/>
        </w:rPr>
        <w:t xml:space="preserve"> </w:t>
      </w:r>
      <w:r w:rsidR="00DF0098">
        <w:rPr>
          <w:rFonts w:ascii="Times New Roman" w:hAnsi="Times New Roman" w:cs="Times New Roman"/>
          <w:sz w:val="24"/>
          <w:szCs w:val="24"/>
        </w:rPr>
        <w:t xml:space="preserve">stalno poboljšanje </w:t>
      </w:r>
      <w:r w:rsidR="00F40C1D">
        <w:rPr>
          <w:rFonts w:ascii="Times New Roman" w:hAnsi="Times New Roman" w:cs="Times New Roman"/>
          <w:sz w:val="24"/>
          <w:szCs w:val="24"/>
        </w:rPr>
        <w:t xml:space="preserve">u </w:t>
      </w:r>
      <w:r w:rsidR="00DF0098">
        <w:rPr>
          <w:rFonts w:ascii="Times New Roman" w:hAnsi="Times New Roman" w:cs="Times New Roman"/>
          <w:sz w:val="24"/>
          <w:szCs w:val="24"/>
        </w:rPr>
        <w:t>primjen</w:t>
      </w:r>
      <w:r w:rsidR="00F40C1D">
        <w:rPr>
          <w:rFonts w:ascii="Times New Roman" w:hAnsi="Times New Roman" w:cs="Times New Roman"/>
          <w:sz w:val="24"/>
          <w:szCs w:val="24"/>
        </w:rPr>
        <w:t>i</w:t>
      </w:r>
      <w:r w:rsidR="00DF0098">
        <w:rPr>
          <w:rFonts w:ascii="Times New Roman" w:hAnsi="Times New Roman" w:cs="Times New Roman"/>
          <w:sz w:val="24"/>
          <w:szCs w:val="24"/>
        </w:rPr>
        <w:t xml:space="preserve"> </w:t>
      </w:r>
      <w:r w:rsidR="00F40C1D">
        <w:rPr>
          <w:rFonts w:ascii="Times New Roman" w:hAnsi="Times New Roman" w:cs="Times New Roman"/>
          <w:sz w:val="24"/>
          <w:szCs w:val="24"/>
        </w:rPr>
        <w:t xml:space="preserve">korisničkih softverskih </w:t>
      </w:r>
      <w:r w:rsidR="00F40C1D" w:rsidRPr="00F40C1D">
        <w:rPr>
          <w:rFonts w:ascii="Times New Roman" w:hAnsi="Times New Roman" w:cs="Times New Roman"/>
          <w:sz w:val="24"/>
          <w:szCs w:val="24"/>
        </w:rPr>
        <w:t xml:space="preserve">paketa prema </w:t>
      </w:r>
      <w:r w:rsidR="00DF0098" w:rsidRPr="00F40C1D">
        <w:rPr>
          <w:rFonts w:ascii="Times New Roman" w:hAnsi="Times New Roman" w:cs="Times New Roman"/>
          <w:sz w:val="24"/>
          <w:szCs w:val="24"/>
        </w:rPr>
        <w:t>EU praks</w:t>
      </w:r>
      <w:r w:rsidR="00F40C1D" w:rsidRPr="00F40C1D">
        <w:rPr>
          <w:rFonts w:ascii="Times New Roman" w:hAnsi="Times New Roman" w:cs="Times New Roman"/>
          <w:sz w:val="24"/>
          <w:szCs w:val="24"/>
        </w:rPr>
        <w:t>i</w:t>
      </w:r>
      <w:r w:rsidR="005F3D10">
        <w:rPr>
          <w:rFonts w:ascii="Times New Roman" w:hAnsi="Times New Roman" w:cs="Times New Roman"/>
          <w:sz w:val="24"/>
          <w:szCs w:val="24"/>
        </w:rPr>
        <w:t>)</w:t>
      </w:r>
      <w:r w:rsidR="00AD3532">
        <w:rPr>
          <w:rFonts w:ascii="Times New Roman" w:hAnsi="Times New Roman" w:cs="Times New Roman"/>
          <w:sz w:val="24"/>
          <w:szCs w:val="24"/>
        </w:rPr>
        <w:t>;</w:t>
      </w:r>
      <w:r w:rsidR="00F40C1D" w:rsidRPr="00F40C1D">
        <w:rPr>
          <w:rFonts w:ascii="Times New Roman" w:hAnsi="Times New Roman" w:cs="Times New Roman"/>
          <w:sz w:val="24"/>
          <w:szCs w:val="24"/>
        </w:rPr>
        <w:t xml:space="preserve"> </w:t>
      </w:r>
      <w:r w:rsidR="00AD3532">
        <w:rPr>
          <w:rFonts w:ascii="Times New Roman" w:hAnsi="Times New Roman" w:cs="Times New Roman"/>
          <w:sz w:val="24"/>
          <w:szCs w:val="24"/>
        </w:rPr>
        <w:t>ECP2B – Virtualne zajednice (za suradnju na zajedničk</w:t>
      </w:r>
      <w:r w:rsidR="00703A83">
        <w:rPr>
          <w:rFonts w:ascii="Times New Roman" w:hAnsi="Times New Roman" w:cs="Times New Roman"/>
          <w:sz w:val="24"/>
          <w:szCs w:val="24"/>
        </w:rPr>
        <w:t xml:space="preserve">im praksama </w:t>
      </w:r>
      <w:r w:rsidR="00A11D00">
        <w:rPr>
          <w:rFonts w:ascii="Times New Roman" w:hAnsi="Times New Roman" w:cs="Times New Roman"/>
          <w:sz w:val="24"/>
          <w:szCs w:val="24"/>
        </w:rPr>
        <w:t>EU</w:t>
      </w:r>
      <w:r w:rsidR="00804DB4">
        <w:rPr>
          <w:rFonts w:ascii="Times New Roman" w:hAnsi="Times New Roman" w:cs="Times New Roman"/>
          <w:sz w:val="24"/>
          <w:szCs w:val="24"/>
        </w:rPr>
        <w:t>-a</w:t>
      </w:r>
      <w:r w:rsidR="00A11D00">
        <w:rPr>
          <w:rFonts w:ascii="Times New Roman" w:hAnsi="Times New Roman" w:cs="Times New Roman"/>
          <w:sz w:val="24"/>
          <w:szCs w:val="24"/>
        </w:rPr>
        <w:t xml:space="preserve"> kao i održivost praksi EU-a); ECP3 – Nove tehnologije (</w:t>
      </w:r>
      <w:r w:rsidR="00804DB4">
        <w:rPr>
          <w:rFonts w:ascii="Times New Roman" w:hAnsi="Times New Roman" w:cs="Times New Roman"/>
          <w:sz w:val="24"/>
          <w:szCs w:val="24"/>
        </w:rPr>
        <w:t xml:space="preserve">primjena tehnologije druge razine </w:t>
      </w:r>
      <w:r w:rsidR="00A11D00">
        <w:rPr>
          <w:rFonts w:ascii="Times New Roman" w:hAnsi="Times New Roman" w:cs="Times New Roman"/>
          <w:sz w:val="24"/>
          <w:szCs w:val="24"/>
        </w:rPr>
        <w:t xml:space="preserve">na temeljima </w:t>
      </w:r>
      <w:proofErr w:type="spellStart"/>
      <w:r w:rsidR="00A11D00">
        <w:rPr>
          <w:rFonts w:ascii="Times New Roman" w:hAnsi="Times New Roman" w:cs="Times New Roman"/>
          <w:sz w:val="24"/>
          <w:szCs w:val="24"/>
        </w:rPr>
        <w:t>blockchaina</w:t>
      </w:r>
      <w:proofErr w:type="spellEnd"/>
      <w:r w:rsidR="00A11D00">
        <w:rPr>
          <w:rFonts w:ascii="Times New Roman" w:hAnsi="Times New Roman" w:cs="Times New Roman"/>
          <w:sz w:val="24"/>
          <w:szCs w:val="24"/>
        </w:rPr>
        <w:t xml:space="preserve">); ECP4 – </w:t>
      </w:r>
      <w:r w:rsidR="00703A83">
        <w:rPr>
          <w:rFonts w:ascii="Times New Roman" w:hAnsi="Times New Roman" w:cs="Times New Roman"/>
          <w:sz w:val="24"/>
          <w:szCs w:val="24"/>
        </w:rPr>
        <w:t xml:space="preserve">Virtualna zajednica za </w:t>
      </w:r>
      <w:r w:rsidR="00A11D00">
        <w:rPr>
          <w:rFonts w:ascii="Times New Roman" w:hAnsi="Times New Roman" w:cs="Times New Roman"/>
          <w:sz w:val="24"/>
          <w:szCs w:val="24"/>
        </w:rPr>
        <w:t>EIPIC (</w:t>
      </w:r>
      <w:r w:rsidR="00703A83">
        <w:rPr>
          <w:rFonts w:ascii="Times New Roman" w:hAnsi="Times New Roman" w:cs="Times New Roman"/>
          <w:sz w:val="24"/>
          <w:szCs w:val="24"/>
        </w:rPr>
        <w:t xml:space="preserve">suradnja za </w:t>
      </w:r>
      <w:r w:rsidR="00703A83" w:rsidRPr="00703A83">
        <w:rPr>
          <w:rFonts w:ascii="Times New Roman" w:hAnsi="Times New Roman" w:cs="Times New Roman"/>
          <w:sz w:val="24"/>
          <w:szCs w:val="24"/>
        </w:rPr>
        <w:t xml:space="preserve">potporu malim i </w:t>
      </w:r>
      <w:r w:rsidR="00703A83" w:rsidRPr="00703A83">
        <w:rPr>
          <w:rFonts w:ascii="Times New Roman" w:hAnsi="Times New Roman" w:cs="Times New Roman"/>
          <w:sz w:val="24"/>
          <w:szCs w:val="24"/>
        </w:rPr>
        <w:lastRenderedPageBreak/>
        <w:t>srednjim poduzećima u učinkovitom upravljanju intelektualnim vlasništvom);</w:t>
      </w:r>
      <w:r w:rsidR="00A11D00" w:rsidRPr="00703A83">
        <w:rPr>
          <w:rFonts w:ascii="Times New Roman" w:hAnsi="Times New Roman" w:cs="Times New Roman"/>
          <w:sz w:val="24"/>
          <w:szCs w:val="24"/>
        </w:rPr>
        <w:t xml:space="preserve"> </w:t>
      </w:r>
      <w:r w:rsidRPr="00703A83">
        <w:rPr>
          <w:rFonts w:ascii="Times New Roman" w:hAnsi="Times New Roman" w:cs="Times New Roman"/>
          <w:sz w:val="24"/>
          <w:szCs w:val="24"/>
        </w:rPr>
        <w:t xml:space="preserve">ECP5 </w:t>
      </w:r>
      <w:r w:rsidR="005F3D10" w:rsidRPr="00703A83">
        <w:rPr>
          <w:rFonts w:ascii="Times New Roman" w:hAnsi="Times New Roman" w:cs="Times New Roman"/>
          <w:sz w:val="24"/>
          <w:szCs w:val="24"/>
        </w:rPr>
        <w:t xml:space="preserve">- </w:t>
      </w:r>
      <w:r w:rsidRPr="00703A83">
        <w:rPr>
          <w:rFonts w:ascii="Times New Roman" w:hAnsi="Times New Roman" w:cs="Times New Roman"/>
          <w:sz w:val="24"/>
          <w:szCs w:val="24"/>
        </w:rPr>
        <w:t>Promotivne</w:t>
      </w:r>
      <w:r w:rsidRPr="00DF0098">
        <w:rPr>
          <w:rFonts w:ascii="Times New Roman" w:hAnsi="Times New Roman" w:cs="Times New Roman"/>
          <w:sz w:val="24"/>
          <w:szCs w:val="24"/>
        </w:rPr>
        <w:t xml:space="preserve"> aktivnosti (praćenje medijske vidljivosti intelektualnog vlasništva u Hrvatskoj, održavanje i </w:t>
      </w:r>
      <w:r w:rsidRPr="00411DB0">
        <w:rPr>
          <w:rFonts w:ascii="Times New Roman" w:hAnsi="Times New Roman" w:cs="Times New Roman"/>
          <w:sz w:val="24"/>
          <w:szCs w:val="24"/>
        </w:rPr>
        <w:t xml:space="preserve">unaprjeđenje sadržaja na društvenim mrežama Nacionalne koordinacije za provedbu prava intelektualnog vlasništva, </w:t>
      </w:r>
      <w:r w:rsidR="009308B7" w:rsidRPr="00411DB0">
        <w:rPr>
          <w:rFonts w:ascii="Times New Roman" w:hAnsi="Times New Roman" w:cs="Times New Roman"/>
          <w:sz w:val="24"/>
          <w:szCs w:val="24"/>
        </w:rPr>
        <w:t xml:space="preserve">informacijsko-promotivni nastupi </w:t>
      </w:r>
      <w:r w:rsidRPr="00411DB0">
        <w:rPr>
          <w:rFonts w:ascii="Times New Roman" w:hAnsi="Times New Roman" w:cs="Times New Roman"/>
          <w:sz w:val="24"/>
          <w:szCs w:val="24"/>
        </w:rPr>
        <w:t xml:space="preserve">na </w:t>
      </w:r>
      <w:r w:rsidR="00804DB4">
        <w:rPr>
          <w:rFonts w:ascii="Times New Roman" w:hAnsi="Times New Roman" w:cs="Times New Roman"/>
          <w:sz w:val="24"/>
          <w:szCs w:val="24"/>
        </w:rPr>
        <w:t>javnim gospodarskim i inovacijskim priredbama</w:t>
      </w:r>
      <w:r w:rsidRPr="006777BD">
        <w:rPr>
          <w:rFonts w:ascii="Times New Roman" w:hAnsi="Times New Roman" w:cs="Times New Roman"/>
          <w:sz w:val="24"/>
          <w:szCs w:val="24"/>
        </w:rPr>
        <w:t>)</w:t>
      </w:r>
      <w:r w:rsidR="006777BD" w:rsidRPr="006777BD">
        <w:rPr>
          <w:rFonts w:ascii="Times New Roman" w:hAnsi="Times New Roman" w:cs="Times New Roman"/>
          <w:sz w:val="24"/>
          <w:szCs w:val="24"/>
        </w:rPr>
        <w:t>.</w:t>
      </w:r>
    </w:p>
    <w:p w14:paraId="3CF54A36" w14:textId="46D0CD35" w:rsidR="00804DB4" w:rsidRPr="006777BD" w:rsidRDefault="00804DB4" w:rsidP="00AA4E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</w:t>
      </w:r>
      <w:r w:rsidRPr="00804DB4">
        <w:rPr>
          <w:rFonts w:ascii="Times New Roman" w:hAnsi="Times New Roman" w:cs="Times New Roman"/>
          <w:sz w:val="24"/>
          <w:szCs w:val="24"/>
        </w:rPr>
        <w:t>namjenskih uplata EUIPO-a za nadoknadu troškova središnjim uredima za industrijsko vlasništvo i drugim relevantnim tijelima država članica na temelju specifičnih zadaća koje oni izvršavaju kao funkcionalni dijelovi sustava žiga EU-a</w:t>
      </w:r>
      <w:r>
        <w:rPr>
          <w:rFonts w:ascii="Times New Roman" w:hAnsi="Times New Roman" w:cs="Times New Roman"/>
          <w:sz w:val="24"/>
          <w:szCs w:val="24"/>
        </w:rPr>
        <w:t xml:space="preserve"> pokriven</w:t>
      </w:r>
      <w:r w:rsidR="00F971F0">
        <w:rPr>
          <w:rFonts w:ascii="Times New Roman" w:hAnsi="Times New Roman" w:cs="Times New Roman"/>
          <w:sz w:val="24"/>
          <w:szCs w:val="24"/>
        </w:rPr>
        <w:t xml:space="preserve"> je dio </w:t>
      </w:r>
      <w:r>
        <w:rPr>
          <w:rFonts w:ascii="Times New Roman" w:hAnsi="Times New Roman" w:cs="Times New Roman"/>
          <w:sz w:val="24"/>
          <w:szCs w:val="24"/>
        </w:rPr>
        <w:t xml:space="preserve"> materijalni</w:t>
      </w:r>
      <w:r w:rsidR="00F971F0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71F0">
        <w:rPr>
          <w:rFonts w:ascii="Times New Roman" w:hAnsi="Times New Roman" w:cs="Times New Roman"/>
          <w:sz w:val="24"/>
          <w:szCs w:val="24"/>
        </w:rPr>
        <w:t>rashoda</w:t>
      </w:r>
      <w:r>
        <w:rPr>
          <w:rFonts w:ascii="Times New Roman" w:hAnsi="Times New Roman" w:cs="Times New Roman"/>
          <w:sz w:val="24"/>
          <w:szCs w:val="24"/>
        </w:rPr>
        <w:t xml:space="preserve"> poslovanja i </w:t>
      </w:r>
      <w:r w:rsidR="00F971F0">
        <w:rPr>
          <w:rFonts w:ascii="Times New Roman" w:hAnsi="Times New Roman" w:cs="Times New Roman"/>
          <w:sz w:val="24"/>
          <w:szCs w:val="24"/>
        </w:rPr>
        <w:t>rashoda</w:t>
      </w:r>
      <w:r>
        <w:rPr>
          <w:rFonts w:ascii="Times New Roman" w:hAnsi="Times New Roman" w:cs="Times New Roman"/>
          <w:sz w:val="24"/>
          <w:szCs w:val="24"/>
        </w:rPr>
        <w:t xml:space="preserve"> nabave nefinancijske imovine</w:t>
      </w:r>
      <w:r w:rsidR="00F971F0">
        <w:rPr>
          <w:rFonts w:ascii="Times New Roman" w:hAnsi="Times New Roman" w:cs="Times New Roman"/>
          <w:sz w:val="24"/>
          <w:szCs w:val="24"/>
        </w:rPr>
        <w:t>, te r</w:t>
      </w:r>
      <w:r w:rsidR="00F971F0" w:rsidRPr="00F971F0">
        <w:rPr>
          <w:rFonts w:ascii="Times New Roman" w:hAnsi="Times New Roman" w:cs="Times New Roman"/>
          <w:sz w:val="24"/>
          <w:szCs w:val="24"/>
        </w:rPr>
        <w:t>ashoda za sudjelovanje djelatnika pravosudnih tijela nadležnih za postupke u području žigova u programima stručnog</w:t>
      </w:r>
      <w:r w:rsidR="00F971F0">
        <w:rPr>
          <w:rFonts w:ascii="Times New Roman" w:hAnsi="Times New Roman" w:cs="Times New Roman"/>
          <w:sz w:val="24"/>
          <w:szCs w:val="24"/>
        </w:rPr>
        <w:t xml:space="preserve"> </w:t>
      </w:r>
      <w:r w:rsidR="00F971F0" w:rsidRPr="00F971F0">
        <w:rPr>
          <w:rFonts w:ascii="Times New Roman" w:hAnsi="Times New Roman" w:cs="Times New Roman"/>
          <w:sz w:val="24"/>
          <w:szCs w:val="24"/>
        </w:rPr>
        <w:t>usavršavanja i drugim aktivnostima suradnje s EUIPO-om u području provedbe prava intelektualnog vlasništva</w:t>
      </w:r>
      <w:r w:rsidR="00F971F0">
        <w:rPr>
          <w:rFonts w:ascii="Times New Roman" w:hAnsi="Times New Roman" w:cs="Times New Roman"/>
          <w:sz w:val="24"/>
          <w:szCs w:val="24"/>
        </w:rPr>
        <w:t>.</w:t>
      </w:r>
    </w:p>
    <w:p w14:paraId="108FD44F" w14:textId="5784E070" w:rsidR="00AA4EFD" w:rsidRPr="00C42456" w:rsidRDefault="00AA4EFD" w:rsidP="00AA4EFD">
      <w:pPr>
        <w:jc w:val="both"/>
        <w:rPr>
          <w:rFonts w:ascii="Times New Roman" w:hAnsi="Times New Roman" w:cs="Times New Roman"/>
          <w:sz w:val="24"/>
          <w:szCs w:val="24"/>
        </w:rPr>
      </w:pPr>
      <w:r w:rsidRPr="00C42456">
        <w:rPr>
          <w:rFonts w:ascii="Times New Roman" w:hAnsi="Times New Roman" w:cs="Times New Roman"/>
          <w:sz w:val="24"/>
          <w:szCs w:val="24"/>
        </w:rPr>
        <w:t xml:space="preserve">Rashodi za provedbu </w:t>
      </w:r>
      <w:r w:rsidR="00B34CC8" w:rsidRPr="00C42456">
        <w:rPr>
          <w:rFonts w:ascii="Times New Roman" w:hAnsi="Times New Roman" w:cs="Times New Roman"/>
          <w:sz w:val="24"/>
          <w:szCs w:val="24"/>
        </w:rPr>
        <w:t>ovih</w:t>
      </w:r>
      <w:r w:rsidRPr="00C42456">
        <w:rPr>
          <w:rFonts w:ascii="Times New Roman" w:hAnsi="Times New Roman" w:cs="Times New Roman"/>
          <w:sz w:val="24"/>
          <w:szCs w:val="24"/>
        </w:rPr>
        <w:t xml:space="preserve"> aktivnosti</w:t>
      </w:r>
      <w:r w:rsidR="00084887" w:rsidRPr="00C42456">
        <w:rPr>
          <w:rFonts w:ascii="Times New Roman" w:hAnsi="Times New Roman" w:cs="Times New Roman"/>
          <w:sz w:val="24"/>
          <w:szCs w:val="24"/>
        </w:rPr>
        <w:t>,</w:t>
      </w:r>
      <w:r w:rsidRPr="00C42456">
        <w:rPr>
          <w:rFonts w:ascii="Times New Roman" w:hAnsi="Times New Roman" w:cs="Times New Roman"/>
          <w:sz w:val="24"/>
          <w:szCs w:val="24"/>
        </w:rPr>
        <w:t xml:space="preserve"> financiranih iz navedenih posebnih namjenskih prihoda (izvora 43)</w:t>
      </w:r>
      <w:r w:rsidR="00084887" w:rsidRPr="00C42456">
        <w:rPr>
          <w:rFonts w:ascii="Times New Roman" w:hAnsi="Times New Roman" w:cs="Times New Roman"/>
          <w:sz w:val="24"/>
          <w:szCs w:val="24"/>
        </w:rPr>
        <w:t>,</w:t>
      </w:r>
      <w:r w:rsidRPr="00C42456">
        <w:rPr>
          <w:rFonts w:ascii="Times New Roman" w:hAnsi="Times New Roman" w:cs="Times New Roman"/>
          <w:sz w:val="24"/>
          <w:szCs w:val="24"/>
        </w:rPr>
        <w:t xml:space="preserve"> iznosili su</w:t>
      </w:r>
      <w:r w:rsidR="00FC1F1F" w:rsidRPr="00C42456">
        <w:rPr>
          <w:rFonts w:ascii="Times New Roman" w:hAnsi="Times New Roman" w:cs="Times New Roman"/>
          <w:sz w:val="24"/>
          <w:szCs w:val="24"/>
        </w:rPr>
        <w:t xml:space="preserve"> </w:t>
      </w:r>
      <w:r w:rsidR="00411DB0" w:rsidRPr="00C42456">
        <w:rPr>
          <w:rFonts w:ascii="Times New Roman" w:hAnsi="Times New Roman" w:cs="Times New Roman"/>
          <w:sz w:val="24"/>
          <w:szCs w:val="24"/>
        </w:rPr>
        <w:t>47</w:t>
      </w:r>
      <w:r w:rsidR="00C42456">
        <w:rPr>
          <w:rFonts w:ascii="Times New Roman" w:hAnsi="Times New Roman" w:cs="Times New Roman"/>
          <w:sz w:val="24"/>
          <w:szCs w:val="24"/>
        </w:rPr>
        <w:t>6</w:t>
      </w:r>
      <w:r w:rsidR="00411DB0" w:rsidRPr="00C42456">
        <w:rPr>
          <w:rFonts w:ascii="Times New Roman" w:hAnsi="Times New Roman" w:cs="Times New Roman"/>
          <w:sz w:val="24"/>
          <w:szCs w:val="24"/>
        </w:rPr>
        <w:t>.036</w:t>
      </w:r>
      <w:r w:rsidR="00FC1F1F" w:rsidRPr="00C42456">
        <w:rPr>
          <w:rFonts w:ascii="Times New Roman" w:hAnsi="Times New Roman" w:cs="Times New Roman"/>
          <w:sz w:val="24"/>
          <w:szCs w:val="24"/>
        </w:rPr>
        <w:t xml:space="preserve"> €</w:t>
      </w:r>
      <w:r w:rsidRPr="00C42456">
        <w:rPr>
          <w:rFonts w:ascii="Times New Roman" w:hAnsi="Times New Roman" w:cs="Times New Roman"/>
          <w:sz w:val="24"/>
          <w:szCs w:val="24"/>
        </w:rPr>
        <w:t xml:space="preserve">, od čega je </w:t>
      </w:r>
      <w:r w:rsidR="00411DB0" w:rsidRPr="00C42456">
        <w:rPr>
          <w:rFonts w:ascii="Times New Roman" w:hAnsi="Times New Roman" w:cs="Times New Roman"/>
          <w:sz w:val="24"/>
          <w:szCs w:val="24"/>
        </w:rPr>
        <w:t>440.1</w:t>
      </w:r>
      <w:r w:rsidR="00C42456">
        <w:rPr>
          <w:rFonts w:ascii="Times New Roman" w:hAnsi="Times New Roman" w:cs="Times New Roman"/>
          <w:sz w:val="24"/>
          <w:szCs w:val="24"/>
        </w:rPr>
        <w:t>87</w:t>
      </w:r>
      <w:r w:rsidR="00FC1F1F" w:rsidRPr="00C42456">
        <w:rPr>
          <w:rFonts w:ascii="Times New Roman" w:hAnsi="Times New Roman" w:cs="Times New Roman"/>
          <w:sz w:val="24"/>
          <w:szCs w:val="24"/>
        </w:rPr>
        <w:t xml:space="preserve"> €</w:t>
      </w:r>
      <w:r w:rsidRPr="00C42456">
        <w:rPr>
          <w:rFonts w:ascii="Times New Roman" w:hAnsi="Times New Roman" w:cs="Times New Roman"/>
          <w:sz w:val="24"/>
          <w:szCs w:val="24"/>
        </w:rPr>
        <w:t xml:space="preserve"> utrošeno na materijalne troškove (od toga </w:t>
      </w:r>
      <w:r w:rsidR="00411DB0" w:rsidRPr="00C42456">
        <w:rPr>
          <w:rFonts w:ascii="Times New Roman" w:hAnsi="Times New Roman" w:cs="Times New Roman"/>
          <w:sz w:val="24"/>
          <w:szCs w:val="24"/>
        </w:rPr>
        <w:t>25</w:t>
      </w:r>
      <w:r w:rsidRPr="00C42456">
        <w:rPr>
          <w:rFonts w:ascii="Times New Roman" w:hAnsi="Times New Roman" w:cs="Times New Roman"/>
          <w:sz w:val="24"/>
          <w:szCs w:val="24"/>
        </w:rPr>
        <w:t xml:space="preserve">% na </w:t>
      </w:r>
      <w:r w:rsidR="009308B7" w:rsidRPr="00C42456">
        <w:rPr>
          <w:rFonts w:ascii="Times New Roman" w:hAnsi="Times New Roman" w:cs="Times New Roman"/>
          <w:sz w:val="24"/>
          <w:szCs w:val="24"/>
        </w:rPr>
        <w:t xml:space="preserve">informatičke </w:t>
      </w:r>
      <w:r w:rsidR="00862329" w:rsidRPr="00C42456">
        <w:rPr>
          <w:rFonts w:ascii="Times New Roman" w:hAnsi="Times New Roman" w:cs="Times New Roman"/>
          <w:sz w:val="24"/>
          <w:szCs w:val="24"/>
        </w:rPr>
        <w:t xml:space="preserve">usluge </w:t>
      </w:r>
      <w:r w:rsidR="00411DB0" w:rsidRPr="00C42456">
        <w:rPr>
          <w:rFonts w:ascii="Times New Roman" w:hAnsi="Times New Roman" w:cs="Times New Roman"/>
          <w:sz w:val="24"/>
          <w:szCs w:val="24"/>
        </w:rPr>
        <w:t xml:space="preserve">održavanja </w:t>
      </w:r>
      <w:r w:rsidR="00862329" w:rsidRPr="00C42456">
        <w:rPr>
          <w:rFonts w:ascii="Times New Roman" w:hAnsi="Times New Roman" w:cs="Times New Roman"/>
          <w:sz w:val="24"/>
          <w:szCs w:val="24"/>
        </w:rPr>
        <w:t>nadogradnje sustava</w:t>
      </w:r>
      <w:r w:rsidRPr="00C42456">
        <w:rPr>
          <w:rFonts w:ascii="Times New Roman" w:hAnsi="Times New Roman" w:cs="Times New Roman"/>
          <w:sz w:val="24"/>
          <w:szCs w:val="24"/>
        </w:rPr>
        <w:t xml:space="preserve">, a ostatak na </w:t>
      </w:r>
      <w:r w:rsidR="00C42456" w:rsidRPr="00C42456">
        <w:rPr>
          <w:rFonts w:ascii="Times New Roman" w:hAnsi="Times New Roman" w:cs="Times New Roman"/>
          <w:sz w:val="24"/>
          <w:szCs w:val="24"/>
        </w:rPr>
        <w:t xml:space="preserve">usluge telefona, pošte i prijevoza, </w:t>
      </w:r>
      <w:r w:rsidRPr="00C42456">
        <w:rPr>
          <w:rFonts w:ascii="Times New Roman" w:hAnsi="Times New Roman" w:cs="Times New Roman"/>
          <w:sz w:val="24"/>
          <w:szCs w:val="24"/>
        </w:rPr>
        <w:t xml:space="preserve">usluge </w:t>
      </w:r>
      <w:r w:rsidR="00862329" w:rsidRPr="00C42456">
        <w:rPr>
          <w:rFonts w:ascii="Times New Roman" w:hAnsi="Times New Roman" w:cs="Times New Roman"/>
          <w:sz w:val="24"/>
          <w:szCs w:val="24"/>
        </w:rPr>
        <w:t>soft</w:t>
      </w:r>
      <w:r w:rsidR="009308B7" w:rsidRPr="00C42456">
        <w:rPr>
          <w:rFonts w:ascii="Times New Roman" w:hAnsi="Times New Roman" w:cs="Times New Roman"/>
          <w:sz w:val="24"/>
          <w:szCs w:val="24"/>
        </w:rPr>
        <w:t>v</w:t>
      </w:r>
      <w:r w:rsidR="00862329" w:rsidRPr="00C42456">
        <w:rPr>
          <w:rFonts w:ascii="Times New Roman" w:hAnsi="Times New Roman" w:cs="Times New Roman"/>
          <w:sz w:val="24"/>
          <w:szCs w:val="24"/>
        </w:rPr>
        <w:t>erskih licenci,</w:t>
      </w:r>
      <w:r w:rsidR="00C42456">
        <w:rPr>
          <w:rFonts w:ascii="Times New Roman" w:hAnsi="Times New Roman" w:cs="Times New Roman"/>
          <w:sz w:val="24"/>
          <w:szCs w:val="24"/>
        </w:rPr>
        <w:t xml:space="preserve"> </w:t>
      </w:r>
      <w:r w:rsidRPr="00C42456">
        <w:rPr>
          <w:rFonts w:ascii="Times New Roman" w:hAnsi="Times New Roman" w:cs="Times New Roman"/>
          <w:sz w:val="24"/>
          <w:szCs w:val="24"/>
        </w:rPr>
        <w:t xml:space="preserve">usluge promidžbe i informiranja, </w:t>
      </w:r>
      <w:r w:rsidR="00862329" w:rsidRPr="00C42456">
        <w:rPr>
          <w:rFonts w:ascii="Times New Roman" w:hAnsi="Times New Roman" w:cs="Times New Roman"/>
          <w:sz w:val="24"/>
          <w:szCs w:val="24"/>
        </w:rPr>
        <w:t>službenih putovanja,</w:t>
      </w:r>
      <w:r w:rsidR="00615D24" w:rsidRPr="00C42456">
        <w:rPr>
          <w:rFonts w:ascii="Times New Roman" w:hAnsi="Times New Roman" w:cs="Times New Roman"/>
          <w:sz w:val="24"/>
          <w:szCs w:val="24"/>
        </w:rPr>
        <w:t xml:space="preserve"> stručnog usavršavanja zaposlenika, </w:t>
      </w:r>
      <w:r w:rsidR="00C329A3" w:rsidRPr="00C42456">
        <w:rPr>
          <w:rFonts w:ascii="Times New Roman" w:hAnsi="Times New Roman" w:cs="Times New Roman"/>
          <w:sz w:val="24"/>
          <w:szCs w:val="24"/>
        </w:rPr>
        <w:t>vanjske usluge voditelja sigurnosti informacijskog sustava</w:t>
      </w:r>
      <w:r w:rsidR="00C42456" w:rsidRPr="00C42456">
        <w:rPr>
          <w:rFonts w:ascii="Times New Roman" w:hAnsi="Times New Roman" w:cs="Times New Roman"/>
          <w:sz w:val="24"/>
          <w:szCs w:val="24"/>
        </w:rPr>
        <w:t>, grafičke i tiskarske usluge</w:t>
      </w:r>
      <w:r w:rsidR="00C329A3" w:rsidRPr="00C42456">
        <w:rPr>
          <w:rFonts w:ascii="Times New Roman" w:hAnsi="Times New Roman" w:cs="Times New Roman"/>
          <w:sz w:val="24"/>
          <w:szCs w:val="24"/>
        </w:rPr>
        <w:t xml:space="preserve"> </w:t>
      </w:r>
      <w:r w:rsidR="00862329" w:rsidRPr="00C42456">
        <w:rPr>
          <w:rFonts w:ascii="Times New Roman" w:hAnsi="Times New Roman" w:cs="Times New Roman"/>
          <w:sz w:val="24"/>
          <w:szCs w:val="24"/>
        </w:rPr>
        <w:t>te ostale usluge)</w:t>
      </w:r>
      <w:r w:rsidRPr="00C42456">
        <w:rPr>
          <w:rFonts w:ascii="Times New Roman" w:hAnsi="Times New Roman" w:cs="Times New Roman"/>
          <w:sz w:val="24"/>
          <w:szCs w:val="24"/>
        </w:rPr>
        <w:t xml:space="preserve">, a </w:t>
      </w:r>
      <w:r w:rsidR="00411DB0" w:rsidRPr="00C42456">
        <w:rPr>
          <w:rFonts w:ascii="Times New Roman" w:hAnsi="Times New Roman" w:cs="Times New Roman"/>
          <w:sz w:val="24"/>
          <w:szCs w:val="24"/>
        </w:rPr>
        <w:t>35.848</w:t>
      </w:r>
      <w:r w:rsidR="00FC1F1F" w:rsidRPr="00C42456">
        <w:rPr>
          <w:rFonts w:ascii="Times New Roman" w:hAnsi="Times New Roman" w:cs="Times New Roman"/>
          <w:sz w:val="24"/>
          <w:szCs w:val="24"/>
        </w:rPr>
        <w:t xml:space="preserve"> € </w:t>
      </w:r>
      <w:r w:rsidRPr="00C42456">
        <w:rPr>
          <w:rFonts w:ascii="Times New Roman" w:hAnsi="Times New Roman" w:cs="Times New Roman"/>
          <w:sz w:val="24"/>
          <w:szCs w:val="24"/>
        </w:rPr>
        <w:t xml:space="preserve"> na troškove nabave dugotrajne imovine, prvenstveno informatičke opreme.</w:t>
      </w:r>
      <w:r w:rsidR="00281A55" w:rsidRPr="00C424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749A6A" w14:textId="753CE82E" w:rsidR="00A16E7B" w:rsidRPr="00F314B1" w:rsidRDefault="00A16E7B" w:rsidP="00A16E7B">
      <w:pPr>
        <w:jc w:val="both"/>
        <w:rPr>
          <w:rFonts w:ascii="Times New Roman" w:hAnsi="Times New Roman" w:cs="Times New Roman"/>
          <w:sz w:val="24"/>
          <w:szCs w:val="24"/>
        </w:rPr>
      </w:pPr>
      <w:r w:rsidRPr="00F314B1">
        <w:rPr>
          <w:rFonts w:ascii="Times New Roman" w:hAnsi="Times New Roman" w:cs="Times New Roman"/>
          <w:sz w:val="24"/>
          <w:szCs w:val="24"/>
        </w:rPr>
        <w:t xml:space="preserve">Indeks izvršenja rashoda za T763005 iznosi 51,2% u odnosu na planirano, a isto je rezultat odstupanja od očekivane dinamike </w:t>
      </w:r>
      <w:r w:rsidR="00F314B1" w:rsidRPr="00F314B1">
        <w:rPr>
          <w:rFonts w:ascii="Times New Roman" w:hAnsi="Times New Roman" w:cs="Times New Roman"/>
          <w:sz w:val="24"/>
          <w:szCs w:val="24"/>
        </w:rPr>
        <w:t xml:space="preserve">u </w:t>
      </w:r>
      <w:r w:rsidR="00F971F0">
        <w:rPr>
          <w:rFonts w:ascii="Times New Roman" w:hAnsi="Times New Roman" w:cs="Times New Roman"/>
          <w:sz w:val="24"/>
          <w:szCs w:val="24"/>
        </w:rPr>
        <w:t xml:space="preserve">provedbi dijela projektnih aktivnosti na razvoju digitalnih poslovnih sustava sa značajnim financijskim učinkom, odnosno </w:t>
      </w:r>
      <w:r w:rsidR="00F314B1" w:rsidRPr="00F314B1">
        <w:rPr>
          <w:rFonts w:ascii="Times New Roman" w:hAnsi="Times New Roman" w:cs="Times New Roman"/>
          <w:sz w:val="24"/>
          <w:szCs w:val="24"/>
        </w:rPr>
        <w:t>kašnjenj</w:t>
      </w:r>
      <w:r w:rsidR="00F971F0">
        <w:rPr>
          <w:rFonts w:ascii="Times New Roman" w:hAnsi="Times New Roman" w:cs="Times New Roman"/>
          <w:sz w:val="24"/>
          <w:szCs w:val="24"/>
        </w:rPr>
        <w:t>a</w:t>
      </w:r>
      <w:r w:rsidR="00F314B1" w:rsidRPr="00F314B1">
        <w:rPr>
          <w:rFonts w:ascii="Times New Roman" w:hAnsi="Times New Roman" w:cs="Times New Roman"/>
          <w:sz w:val="24"/>
          <w:szCs w:val="24"/>
        </w:rPr>
        <w:t xml:space="preserve"> u provedbi nabave usluge vanjskih dobavljača veće vrijednosti (financijski </w:t>
      </w:r>
      <w:r w:rsidR="00F971F0">
        <w:rPr>
          <w:rFonts w:ascii="Times New Roman" w:hAnsi="Times New Roman" w:cs="Times New Roman"/>
          <w:sz w:val="24"/>
          <w:szCs w:val="24"/>
        </w:rPr>
        <w:t xml:space="preserve">učinci </w:t>
      </w:r>
      <w:r w:rsidR="00F314B1" w:rsidRPr="00F314B1">
        <w:rPr>
          <w:rFonts w:ascii="Times New Roman" w:hAnsi="Times New Roman" w:cs="Times New Roman"/>
          <w:sz w:val="24"/>
          <w:szCs w:val="24"/>
        </w:rPr>
        <w:t>ovih aktivnosti će biti vidljivi u narednom razdoblju).</w:t>
      </w:r>
    </w:p>
    <w:p w14:paraId="546AB661" w14:textId="77777777" w:rsidR="00BB70BF" w:rsidRPr="00A36417" w:rsidRDefault="00BB70BF" w:rsidP="0079377D">
      <w:pPr>
        <w:keepNext/>
        <w:keepLines/>
        <w:overflowPunct w:val="0"/>
        <w:autoSpaceDE w:val="0"/>
        <w:autoSpaceDN w:val="0"/>
        <w:adjustRightInd w:val="0"/>
        <w:spacing w:after="120" w:line="240" w:lineRule="auto"/>
        <w:textAlignment w:val="baseline"/>
        <w:outlineLvl w:val="7"/>
        <w:rPr>
          <w:rFonts w:cstheme="minorHAnsi"/>
          <w:b/>
          <w:color w:val="FF0000"/>
          <w:highlight w:val="yellow"/>
        </w:rPr>
      </w:pPr>
    </w:p>
    <w:p w14:paraId="1CE3825B" w14:textId="77777777" w:rsidR="00BB70BF" w:rsidRPr="00A36417" w:rsidRDefault="00BB70BF" w:rsidP="00BB70BF">
      <w:pPr>
        <w:keepNext/>
        <w:keepLines/>
        <w:overflowPunct w:val="0"/>
        <w:autoSpaceDE w:val="0"/>
        <w:autoSpaceDN w:val="0"/>
        <w:adjustRightInd w:val="0"/>
        <w:spacing w:after="120" w:line="240" w:lineRule="auto"/>
        <w:textAlignment w:val="baseline"/>
        <w:outlineLvl w:val="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6417">
        <w:rPr>
          <w:rFonts w:ascii="Times New Roman" w:eastAsia="Times New Roman" w:hAnsi="Times New Roman" w:cs="Times New Roman"/>
          <w:b/>
          <w:sz w:val="24"/>
          <w:szCs w:val="24"/>
        </w:rPr>
        <w:t>Pokazatelji rezultata</w:t>
      </w:r>
    </w:p>
    <w:tbl>
      <w:tblPr>
        <w:tblStyle w:val="StilTablice"/>
        <w:tblW w:w="9262" w:type="dxa"/>
        <w:jc w:val="center"/>
        <w:tblLook w:val="04A0" w:firstRow="1" w:lastRow="0" w:firstColumn="1" w:lastColumn="0" w:noHBand="0" w:noVBand="1"/>
      </w:tblPr>
      <w:tblGrid>
        <w:gridCol w:w="2281"/>
        <w:gridCol w:w="2280"/>
        <w:gridCol w:w="932"/>
        <w:gridCol w:w="944"/>
        <w:gridCol w:w="933"/>
        <w:gridCol w:w="944"/>
        <w:gridCol w:w="948"/>
      </w:tblGrid>
      <w:tr w:rsidR="00111E3D" w:rsidRPr="00A36417" w14:paraId="56B8D22C" w14:textId="77777777" w:rsidTr="008F0A10">
        <w:trPr>
          <w:jc w:val="center"/>
        </w:trPr>
        <w:tc>
          <w:tcPr>
            <w:tcW w:w="2281" w:type="dxa"/>
            <w:shd w:val="clear" w:color="auto" w:fill="B5C0D8"/>
          </w:tcPr>
          <w:p w14:paraId="5F0C8BBD" w14:textId="77777777" w:rsidR="008F0A10" w:rsidRPr="00A36417" w:rsidRDefault="008F0A10" w:rsidP="008F0A10">
            <w:pPr>
              <w:rPr>
                <w:rFonts w:cs="Times New Roman"/>
              </w:rPr>
            </w:pPr>
            <w:bookmarkStart w:id="1" w:name="_Hlk160118455"/>
            <w:r w:rsidRPr="00A36417">
              <w:rPr>
                <w:rFonts w:cs="Times New Roman"/>
              </w:rPr>
              <w:t>Pokazatelj rezultata</w:t>
            </w:r>
          </w:p>
        </w:tc>
        <w:tc>
          <w:tcPr>
            <w:tcW w:w="2280" w:type="dxa"/>
            <w:shd w:val="clear" w:color="auto" w:fill="B5C0D8"/>
          </w:tcPr>
          <w:p w14:paraId="7F59B1B7" w14:textId="77777777" w:rsidR="008F0A10" w:rsidRPr="00A36417" w:rsidRDefault="008F0A10" w:rsidP="008F0A10">
            <w:pPr>
              <w:rPr>
                <w:rFonts w:cs="Times New Roman"/>
              </w:rPr>
            </w:pPr>
            <w:r w:rsidRPr="00A36417">
              <w:rPr>
                <w:rFonts w:cs="Times New Roman"/>
              </w:rPr>
              <w:t>Definicija</w:t>
            </w:r>
          </w:p>
        </w:tc>
        <w:tc>
          <w:tcPr>
            <w:tcW w:w="932" w:type="dxa"/>
            <w:shd w:val="clear" w:color="auto" w:fill="B5C0D8"/>
          </w:tcPr>
          <w:p w14:paraId="2F03B470" w14:textId="77777777" w:rsidR="008F0A10" w:rsidRPr="00A36417" w:rsidRDefault="008F0A10" w:rsidP="008F0A10">
            <w:pPr>
              <w:rPr>
                <w:rFonts w:cs="Times New Roman"/>
              </w:rPr>
            </w:pPr>
            <w:r w:rsidRPr="00A36417">
              <w:rPr>
                <w:rFonts w:cs="Times New Roman"/>
              </w:rPr>
              <w:t>Jedinica</w:t>
            </w:r>
          </w:p>
        </w:tc>
        <w:tc>
          <w:tcPr>
            <w:tcW w:w="944" w:type="dxa"/>
            <w:shd w:val="clear" w:color="auto" w:fill="B5C0D8"/>
          </w:tcPr>
          <w:p w14:paraId="3C2E0960" w14:textId="77777777" w:rsidR="008F0A10" w:rsidRPr="00A36417" w:rsidRDefault="008F0A10" w:rsidP="008F0A10">
            <w:pPr>
              <w:rPr>
                <w:rFonts w:cs="Times New Roman"/>
              </w:rPr>
            </w:pPr>
            <w:r w:rsidRPr="00A36417">
              <w:rPr>
                <w:rFonts w:cs="Times New Roman"/>
              </w:rPr>
              <w:t>Polazna vrijednost</w:t>
            </w:r>
          </w:p>
        </w:tc>
        <w:tc>
          <w:tcPr>
            <w:tcW w:w="933" w:type="dxa"/>
            <w:shd w:val="clear" w:color="auto" w:fill="B5C0D8"/>
          </w:tcPr>
          <w:p w14:paraId="4D2A75CD" w14:textId="77777777" w:rsidR="008F0A10" w:rsidRPr="00A36417" w:rsidRDefault="008F0A10" w:rsidP="008F0A10">
            <w:pPr>
              <w:rPr>
                <w:rFonts w:cs="Times New Roman"/>
              </w:rPr>
            </w:pPr>
            <w:r w:rsidRPr="00A36417">
              <w:rPr>
                <w:rFonts w:cs="Times New Roman"/>
              </w:rPr>
              <w:t>Izvor podataka</w:t>
            </w:r>
          </w:p>
        </w:tc>
        <w:tc>
          <w:tcPr>
            <w:tcW w:w="944" w:type="dxa"/>
            <w:shd w:val="clear" w:color="auto" w:fill="B5C0D8"/>
          </w:tcPr>
          <w:p w14:paraId="70F60FB6" w14:textId="65C1EA92" w:rsidR="008F0A10" w:rsidRPr="00A36417" w:rsidRDefault="008F0A10" w:rsidP="008F0A10">
            <w:pPr>
              <w:rPr>
                <w:rFonts w:cs="Times New Roman"/>
              </w:rPr>
            </w:pPr>
            <w:r w:rsidRPr="00A36417">
              <w:rPr>
                <w:rFonts w:cs="Times New Roman"/>
              </w:rPr>
              <w:t>Ciljana vrijednost (202</w:t>
            </w:r>
            <w:r w:rsidR="00A36417">
              <w:rPr>
                <w:rFonts w:cs="Times New Roman"/>
              </w:rPr>
              <w:t>5</w:t>
            </w:r>
            <w:r w:rsidRPr="00A36417">
              <w:rPr>
                <w:rFonts w:cs="Times New Roman"/>
              </w:rPr>
              <w:t>.)</w:t>
            </w:r>
          </w:p>
        </w:tc>
        <w:tc>
          <w:tcPr>
            <w:tcW w:w="948" w:type="dxa"/>
            <w:shd w:val="clear" w:color="auto" w:fill="B5C0D8"/>
          </w:tcPr>
          <w:p w14:paraId="2AC5BBF2" w14:textId="4536C0B8" w:rsidR="008F0A10" w:rsidRPr="00A36417" w:rsidRDefault="008F0A10" w:rsidP="008F0A10">
            <w:pPr>
              <w:rPr>
                <w:rFonts w:cs="Times New Roman"/>
              </w:rPr>
            </w:pPr>
            <w:r w:rsidRPr="00A36417">
              <w:rPr>
                <w:rFonts w:cs="Times New Roman"/>
              </w:rPr>
              <w:t>Ostvarena vrijednost (202</w:t>
            </w:r>
            <w:r w:rsidR="00A36417">
              <w:rPr>
                <w:rFonts w:cs="Times New Roman"/>
              </w:rPr>
              <w:t>5</w:t>
            </w:r>
            <w:r w:rsidRPr="00A36417">
              <w:rPr>
                <w:rFonts w:cs="Times New Roman"/>
              </w:rPr>
              <w:t>.)</w:t>
            </w:r>
          </w:p>
        </w:tc>
      </w:tr>
      <w:tr w:rsidR="00111E3D" w:rsidRPr="00111E3D" w14:paraId="01F81351" w14:textId="77777777" w:rsidTr="008F0A10">
        <w:trPr>
          <w:jc w:val="center"/>
        </w:trPr>
        <w:tc>
          <w:tcPr>
            <w:tcW w:w="2281" w:type="dxa"/>
            <w:vAlign w:val="top"/>
          </w:tcPr>
          <w:p w14:paraId="0B63B53C" w14:textId="77777777" w:rsidR="008F0A10" w:rsidRPr="00A36417" w:rsidRDefault="008F0A10" w:rsidP="0079377D">
            <w:pPr>
              <w:rPr>
                <w:rFonts w:cs="Times New Roman"/>
                <w:i/>
              </w:rPr>
            </w:pPr>
            <w:r w:rsidRPr="00A36417">
              <w:rPr>
                <w:rFonts w:cs="Times New Roman"/>
                <w:i/>
              </w:rPr>
              <w:t>Postotak provedenih aktivnosti/projekata u odnosu na planirane temeljem godišnjih ugovora o suradnji s EUIPO-om (godišnje)</w:t>
            </w:r>
          </w:p>
        </w:tc>
        <w:tc>
          <w:tcPr>
            <w:tcW w:w="2280" w:type="dxa"/>
            <w:vAlign w:val="top"/>
          </w:tcPr>
          <w:p w14:paraId="0B2C6AB5" w14:textId="5483291E" w:rsidR="008F0A10" w:rsidRPr="00A36417" w:rsidRDefault="008F0A10" w:rsidP="0079377D">
            <w:pPr>
              <w:rPr>
                <w:rFonts w:cs="Times New Roman"/>
                <w:i/>
              </w:rPr>
            </w:pPr>
            <w:r w:rsidRPr="00A36417">
              <w:rPr>
                <w:rFonts w:cs="Times New Roman"/>
                <w:i/>
                <w:iCs/>
                <w:szCs w:val="20"/>
              </w:rPr>
              <w:t>Postotak provedenih aktivnosti/projekata</w:t>
            </w:r>
            <w:r w:rsidRPr="00A36417">
              <w:rPr>
                <w:rFonts w:cs="Times New Roman"/>
                <w:i/>
              </w:rPr>
              <w:t xml:space="preserve"> u odnosu na planirane temeljem godišnjih ugovora o suradnji s EUIPO-om</w:t>
            </w:r>
          </w:p>
        </w:tc>
        <w:tc>
          <w:tcPr>
            <w:tcW w:w="932" w:type="dxa"/>
          </w:tcPr>
          <w:p w14:paraId="4206662A" w14:textId="77777777" w:rsidR="008F0A10" w:rsidRPr="00A36417" w:rsidRDefault="008F0A10" w:rsidP="0079377D">
            <w:pPr>
              <w:rPr>
                <w:rFonts w:cs="Times New Roman"/>
                <w:i/>
              </w:rPr>
            </w:pPr>
            <w:r w:rsidRPr="00A36417">
              <w:rPr>
                <w:rFonts w:cs="Times New Roman"/>
                <w:i/>
              </w:rPr>
              <w:t>%</w:t>
            </w:r>
          </w:p>
        </w:tc>
        <w:tc>
          <w:tcPr>
            <w:tcW w:w="944" w:type="dxa"/>
          </w:tcPr>
          <w:p w14:paraId="0A8A2CE2" w14:textId="64E0C14C" w:rsidR="008F0A10" w:rsidRPr="00A36417" w:rsidRDefault="008F0A10" w:rsidP="0079377D">
            <w:pPr>
              <w:rPr>
                <w:rFonts w:cs="Times New Roman"/>
                <w:i/>
              </w:rPr>
            </w:pPr>
            <w:r w:rsidRPr="00A36417">
              <w:rPr>
                <w:rFonts w:cs="Times New Roman"/>
                <w:i/>
              </w:rPr>
              <w:t>100</w:t>
            </w:r>
          </w:p>
          <w:p w14:paraId="71E8827C" w14:textId="7B75D46F" w:rsidR="008F0A10" w:rsidRPr="00A36417" w:rsidRDefault="008F0A10" w:rsidP="0079377D">
            <w:pPr>
              <w:rPr>
                <w:rFonts w:cs="Times New Roman"/>
                <w:i/>
              </w:rPr>
            </w:pPr>
            <w:r w:rsidRPr="00A36417">
              <w:rPr>
                <w:rFonts w:cs="Times New Roman"/>
                <w:i/>
              </w:rPr>
              <w:t>(202</w:t>
            </w:r>
            <w:r w:rsidR="00A36417">
              <w:rPr>
                <w:rFonts w:cs="Times New Roman"/>
                <w:i/>
              </w:rPr>
              <w:t>4</w:t>
            </w:r>
            <w:r w:rsidRPr="00A36417">
              <w:rPr>
                <w:rFonts w:cs="Times New Roman"/>
                <w:i/>
              </w:rPr>
              <w:t>.)</w:t>
            </w:r>
          </w:p>
        </w:tc>
        <w:tc>
          <w:tcPr>
            <w:tcW w:w="933" w:type="dxa"/>
          </w:tcPr>
          <w:p w14:paraId="7FE2CB93" w14:textId="77777777" w:rsidR="008F0A10" w:rsidRPr="00A36417" w:rsidRDefault="008F0A10" w:rsidP="0079377D">
            <w:pPr>
              <w:rPr>
                <w:rFonts w:cs="Times New Roman"/>
                <w:i/>
              </w:rPr>
            </w:pPr>
            <w:r w:rsidRPr="00A36417">
              <w:rPr>
                <w:rFonts w:cs="Times New Roman"/>
                <w:i/>
              </w:rPr>
              <w:t>DZIV</w:t>
            </w:r>
          </w:p>
        </w:tc>
        <w:tc>
          <w:tcPr>
            <w:tcW w:w="944" w:type="dxa"/>
          </w:tcPr>
          <w:p w14:paraId="3AA8C269" w14:textId="77777777" w:rsidR="008F0A10" w:rsidRPr="00A36417" w:rsidRDefault="008F0A10" w:rsidP="0079377D">
            <w:pPr>
              <w:rPr>
                <w:rFonts w:cs="Times New Roman"/>
                <w:i/>
              </w:rPr>
            </w:pPr>
            <w:r w:rsidRPr="00A36417">
              <w:rPr>
                <w:rFonts w:cs="Times New Roman"/>
                <w:i/>
              </w:rPr>
              <w:t>100</w:t>
            </w:r>
          </w:p>
        </w:tc>
        <w:tc>
          <w:tcPr>
            <w:tcW w:w="948" w:type="dxa"/>
          </w:tcPr>
          <w:p w14:paraId="7737014B" w14:textId="4A50579B" w:rsidR="008F0A10" w:rsidRPr="00111E3D" w:rsidRDefault="008F0A10" w:rsidP="0079377D">
            <w:pPr>
              <w:rPr>
                <w:rFonts w:cs="Times New Roman"/>
                <w:i/>
              </w:rPr>
            </w:pPr>
            <w:r w:rsidRPr="00A36417">
              <w:rPr>
                <w:rFonts w:cs="Times New Roman"/>
                <w:i/>
              </w:rPr>
              <w:t>100</w:t>
            </w:r>
          </w:p>
        </w:tc>
      </w:tr>
      <w:bookmarkEnd w:id="1"/>
    </w:tbl>
    <w:p w14:paraId="1AB4D82F" w14:textId="26D651C0" w:rsidR="00D3371E" w:rsidRPr="00111E3D" w:rsidRDefault="00D3371E" w:rsidP="003D5EB1">
      <w:pPr>
        <w:jc w:val="both"/>
        <w:rPr>
          <w:rFonts w:cstheme="minorHAnsi"/>
          <w:color w:val="FF0000"/>
        </w:rPr>
      </w:pPr>
    </w:p>
    <w:sectPr w:rsidR="00D3371E" w:rsidRPr="00111E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E65E4" w14:textId="77777777" w:rsidR="004F1A72" w:rsidRDefault="004F1A72" w:rsidP="009A1A1A">
      <w:pPr>
        <w:spacing w:after="0" w:line="240" w:lineRule="auto"/>
      </w:pPr>
      <w:r>
        <w:separator/>
      </w:r>
    </w:p>
  </w:endnote>
  <w:endnote w:type="continuationSeparator" w:id="0">
    <w:p w14:paraId="7819FDE9" w14:textId="77777777" w:rsidR="004F1A72" w:rsidRDefault="004F1A72" w:rsidP="009A1A1A">
      <w:pPr>
        <w:spacing w:after="0" w:line="240" w:lineRule="auto"/>
      </w:pPr>
      <w:r>
        <w:continuationSeparator/>
      </w:r>
    </w:p>
  </w:endnote>
  <w:endnote w:type="continuationNotice" w:id="1">
    <w:p w14:paraId="58CF6E93" w14:textId="77777777" w:rsidR="004F1A72" w:rsidRDefault="004F1A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5515545"/>
      <w:docPartObj>
        <w:docPartGallery w:val="Page Numbers (Bottom of Page)"/>
        <w:docPartUnique/>
      </w:docPartObj>
    </w:sdtPr>
    <w:sdtEndPr/>
    <w:sdtContent>
      <w:p w14:paraId="5C5B4DCA" w14:textId="44883849" w:rsidR="00E018D6" w:rsidRDefault="00E018D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478">
          <w:rPr>
            <w:noProof/>
          </w:rPr>
          <w:t>8</w:t>
        </w:r>
        <w:r>
          <w:fldChar w:fldCharType="end"/>
        </w:r>
      </w:p>
    </w:sdtContent>
  </w:sdt>
  <w:p w14:paraId="477CCB95" w14:textId="7F00CA3C" w:rsidR="009A1A1A" w:rsidRDefault="009A1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6EC8B" w14:textId="77777777" w:rsidR="004F1A72" w:rsidRDefault="004F1A72" w:rsidP="009A1A1A">
      <w:pPr>
        <w:spacing w:after="0" w:line="240" w:lineRule="auto"/>
      </w:pPr>
      <w:r>
        <w:separator/>
      </w:r>
    </w:p>
  </w:footnote>
  <w:footnote w:type="continuationSeparator" w:id="0">
    <w:p w14:paraId="212B7309" w14:textId="77777777" w:rsidR="004F1A72" w:rsidRDefault="004F1A72" w:rsidP="009A1A1A">
      <w:pPr>
        <w:spacing w:after="0" w:line="240" w:lineRule="auto"/>
      </w:pPr>
      <w:r>
        <w:continuationSeparator/>
      </w:r>
    </w:p>
  </w:footnote>
  <w:footnote w:type="continuationNotice" w:id="1">
    <w:p w14:paraId="7576E55C" w14:textId="77777777" w:rsidR="004F1A72" w:rsidRDefault="004F1A7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530B"/>
    <w:multiLevelType w:val="hybridMultilevel"/>
    <w:tmpl w:val="D9368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F5440"/>
    <w:multiLevelType w:val="hybridMultilevel"/>
    <w:tmpl w:val="E9702F6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B672E"/>
    <w:multiLevelType w:val="hybridMultilevel"/>
    <w:tmpl w:val="35205F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30B48"/>
    <w:multiLevelType w:val="hybridMultilevel"/>
    <w:tmpl w:val="E3B891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D7AAA"/>
    <w:multiLevelType w:val="hybridMultilevel"/>
    <w:tmpl w:val="5322944C"/>
    <w:lvl w:ilvl="0" w:tplc="5AFAC1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B7C5A"/>
    <w:multiLevelType w:val="hybridMultilevel"/>
    <w:tmpl w:val="C26C284E"/>
    <w:lvl w:ilvl="0" w:tplc="23C226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06862"/>
    <w:multiLevelType w:val="hybridMultilevel"/>
    <w:tmpl w:val="95BA7C40"/>
    <w:lvl w:ilvl="0" w:tplc="5AFAC1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1F13AF"/>
    <w:multiLevelType w:val="hybridMultilevel"/>
    <w:tmpl w:val="A07E8EB8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93943"/>
    <w:multiLevelType w:val="hybridMultilevel"/>
    <w:tmpl w:val="06A2F7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12"/>
  </w:num>
  <w:num w:numId="5">
    <w:abstractNumId w:val="1"/>
  </w:num>
  <w:num w:numId="6">
    <w:abstractNumId w:val="2"/>
  </w:num>
  <w:num w:numId="7">
    <w:abstractNumId w:val="6"/>
  </w:num>
  <w:num w:numId="8">
    <w:abstractNumId w:val="14"/>
  </w:num>
  <w:num w:numId="9">
    <w:abstractNumId w:val="0"/>
  </w:num>
  <w:num w:numId="10">
    <w:abstractNumId w:val="3"/>
  </w:num>
  <w:num w:numId="11">
    <w:abstractNumId w:val="8"/>
  </w:num>
  <w:num w:numId="12">
    <w:abstractNumId w:val="11"/>
  </w:num>
  <w:num w:numId="13">
    <w:abstractNumId w:val="10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0BF"/>
    <w:rsid w:val="000060DD"/>
    <w:rsid w:val="00013AFC"/>
    <w:rsid w:val="00021B5C"/>
    <w:rsid w:val="00030327"/>
    <w:rsid w:val="00042D0A"/>
    <w:rsid w:val="000437C7"/>
    <w:rsid w:val="00062691"/>
    <w:rsid w:val="00073ED9"/>
    <w:rsid w:val="000746BD"/>
    <w:rsid w:val="00084887"/>
    <w:rsid w:val="00085EC7"/>
    <w:rsid w:val="00087D53"/>
    <w:rsid w:val="00095E09"/>
    <w:rsid w:val="000971E4"/>
    <w:rsid w:val="00097E36"/>
    <w:rsid w:val="000B5DF1"/>
    <w:rsid w:val="000C0F55"/>
    <w:rsid w:val="000C3375"/>
    <w:rsid w:val="000D08A5"/>
    <w:rsid w:val="000D1149"/>
    <w:rsid w:val="000D6FAB"/>
    <w:rsid w:val="00105F84"/>
    <w:rsid w:val="00111E3D"/>
    <w:rsid w:val="0011706F"/>
    <w:rsid w:val="00120481"/>
    <w:rsid w:val="00123CFD"/>
    <w:rsid w:val="00126901"/>
    <w:rsid w:val="00127651"/>
    <w:rsid w:val="00132DBD"/>
    <w:rsid w:val="00134866"/>
    <w:rsid w:val="00135458"/>
    <w:rsid w:val="0014148E"/>
    <w:rsid w:val="001548F6"/>
    <w:rsid w:val="00154EA6"/>
    <w:rsid w:val="00165637"/>
    <w:rsid w:val="00175515"/>
    <w:rsid w:val="00176A88"/>
    <w:rsid w:val="00176BD7"/>
    <w:rsid w:val="001924C7"/>
    <w:rsid w:val="00197ECB"/>
    <w:rsid w:val="001A6B7F"/>
    <w:rsid w:val="001A76E5"/>
    <w:rsid w:val="001B0F38"/>
    <w:rsid w:val="001B0F7A"/>
    <w:rsid w:val="001B3688"/>
    <w:rsid w:val="001C1EB2"/>
    <w:rsid w:val="001C59D0"/>
    <w:rsid w:val="001D3087"/>
    <w:rsid w:val="001E023D"/>
    <w:rsid w:val="001E6A9C"/>
    <w:rsid w:val="001F2482"/>
    <w:rsid w:val="001F63EF"/>
    <w:rsid w:val="00203D72"/>
    <w:rsid w:val="00211AA6"/>
    <w:rsid w:val="00215A47"/>
    <w:rsid w:val="00217B22"/>
    <w:rsid w:val="00217FC6"/>
    <w:rsid w:val="00220BF7"/>
    <w:rsid w:val="00225FE5"/>
    <w:rsid w:val="00227D81"/>
    <w:rsid w:val="002313B2"/>
    <w:rsid w:val="0024303A"/>
    <w:rsid w:val="00251508"/>
    <w:rsid w:val="00257C5F"/>
    <w:rsid w:val="00260F00"/>
    <w:rsid w:val="002612CC"/>
    <w:rsid w:val="00261B1C"/>
    <w:rsid w:val="00273025"/>
    <w:rsid w:val="0027358D"/>
    <w:rsid w:val="0027604F"/>
    <w:rsid w:val="00277B2E"/>
    <w:rsid w:val="00281A55"/>
    <w:rsid w:val="00281CC0"/>
    <w:rsid w:val="0028554C"/>
    <w:rsid w:val="0029177C"/>
    <w:rsid w:val="00292978"/>
    <w:rsid w:val="002A0E78"/>
    <w:rsid w:val="002A58B4"/>
    <w:rsid w:val="002B0199"/>
    <w:rsid w:val="002B1DCA"/>
    <w:rsid w:val="002C4D35"/>
    <w:rsid w:val="002C624D"/>
    <w:rsid w:val="002C699D"/>
    <w:rsid w:val="002C7121"/>
    <w:rsid w:val="002D444E"/>
    <w:rsid w:val="002D4D98"/>
    <w:rsid w:val="002D6565"/>
    <w:rsid w:val="002E4A71"/>
    <w:rsid w:val="002E6017"/>
    <w:rsid w:val="002E64F6"/>
    <w:rsid w:val="002F42D2"/>
    <w:rsid w:val="00302D5C"/>
    <w:rsid w:val="00303FFB"/>
    <w:rsid w:val="003108E1"/>
    <w:rsid w:val="003156CF"/>
    <w:rsid w:val="003239CD"/>
    <w:rsid w:val="00324025"/>
    <w:rsid w:val="003255E2"/>
    <w:rsid w:val="003314C3"/>
    <w:rsid w:val="00341063"/>
    <w:rsid w:val="00342E59"/>
    <w:rsid w:val="00354C52"/>
    <w:rsid w:val="0035714F"/>
    <w:rsid w:val="00370618"/>
    <w:rsid w:val="00372573"/>
    <w:rsid w:val="00375127"/>
    <w:rsid w:val="003A1DC6"/>
    <w:rsid w:val="003B0C88"/>
    <w:rsid w:val="003B2CF0"/>
    <w:rsid w:val="003C0148"/>
    <w:rsid w:val="003C7401"/>
    <w:rsid w:val="003D15EB"/>
    <w:rsid w:val="003D5046"/>
    <w:rsid w:val="003D5EB1"/>
    <w:rsid w:val="003F184E"/>
    <w:rsid w:val="00400DF4"/>
    <w:rsid w:val="00404D4D"/>
    <w:rsid w:val="00411DB0"/>
    <w:rsid w:val="00412F2D"/>
    <w:rsid w:val="00415D11"/>
    <w:rsid w:val="00420FCD"/>
    <w:rsid w:val="00421175"/>
    <w:rsid w:val="00423907"/>
    <w:rsid w:val="00426BA4"/>
    <w:rsid w:val="004273C6"/>
    <w:rsid w:val="004331A6"/>
    <w:rsid w:val="00434281"/>
    <w:rsid w:val="00440AB2"/>
    <w:rsid w:val="00443369"/>
    <w:rsid w:val="00444B10"/>
    <w:rsid w:val="0044717B"/>
    <w:rsid w:val="00456A71"/>
    <w:rsid w:val="004578C0"/>
    <w:rsid w:val="0046109A"/>
    <w:rsid w:val="004644D8"/>
    <w:rsid w:val="004659B6"/>
    <w:rsid w:val="00465E05"/>
    <w:rsid w:val="00473780"/>
    <w:rsid w:val="00474EAA"/>
    <w:rsid w:val="004845AB"/>
    <w:rsid w:val="004A05F6"/>
    <w:rsid w:val="004A3F20"/>
    <w:rsid w:val="004A7AFD"/>
    <w:rsid w:val="004C09E6"/>
    <w:rsid w:val="004C1D9F"/>
    <w:rsid w:val="004C2DD6"/>
    <w:rsid w:val="004C3A59"/>
    <w:rsid w:val="004C6DBF"/>
    <w:rsid w:val="004D730C"/>
    <w:rsid w:val="004D7DBE"/>
    <w:rsid w:val="004E02C5"/>
    <w:rsid w:val="004E16C8"/>
    <w:rsid w:val="004E2B07"/>
    <w:rsid w:val="004E6D43"/>
    <w:rsid w:val="004F1A72"/>
    <w:rsid w:val="005004C0"/>
    <w:rsid w:val="0050185B"/>
    <w:rsid w:val="005046F1"/>
    <w:rsid w:val="00512C8E"/>
    <w:rsid w:val="00513E91"/>
    <w:rsid w:val="005340C2"/>
    <w:rsid w:val="00534274"/>
    <w:rsid w:val="0054147B"/>
    <w:rsid w:val="00553C25"/>
    <w:rsid w:val="005540EB"/>
    <w:rsid w:val="005574F3"/>
    <w:rsid w:val="00562A9D"/>
    <w:rsid w:val="00562EC6"/>
    <w:rsid w:val="00571253"/>
    <w:rsid w:val="005723A6"/>
    <w:rsid w:val="005813CC"/>
    <w:rsid w:val="00585281"/>
    <w:rsid w:val="00594429"/>
    <w:rsid w:val="0059713D"/>
    <w:rsid w:val="005A60DD"/>
    <w:rsid w:val="005D15F7"/>
    <w:rsid w:val="005D4C2D"/>
    <w:rsid w:val="005F1414"/>
    <w:rsid w:val="005F3D10"/>
    <w:rsid w:val="0061276B"/>
    <w:rsid w:val="00615D24"/>
    <w:rsid w:val="00621EAA"/>
    <w:rsid w:val="00621F06"/>
    <w:rsid w:val="00623CB3"/>
    <w:rsid w:val="00625801"/>
    <w:rsid w:val="00627A54"/>
    <w:rsid w:val="00631017"/>
    <w:rsid w:val="00631530"/>
    <w:rsid w:val="0063161E"/>
    <w:rsid w:val="00635777"/>
    <w:rsid w:val="006538FA"/>
    <w:rsid w:val="00665D9C"/>
    <w:rsid w:val="006664B9"/>
    <w:rsid w:val="00667708"/>
    <w:rsid w:val="006777BD"/>
    <w:rsid w:val="00687B0B"/>
    <w:rsid w:val="006923E5"/>
    <w:rsid w:val="006A4087"/>
    <w:rsid w:val="006B077E"/>
    <w:rsid w:val="006B0D76"/>
    <w:rsid w:val="006C74DD"/>
    <w:rsid w:val="006D1752"/>
    <w:rsid w:val="006D1E07"/>
    <w:rsid w:val="006D5478"/>
    <w:rsid w:val="006E16F5"/>
    <w:rsid w:val="006E2D23"/>
    <w:rsid w:val="006E6726"/>
    <w:rsid w:val="00700CAD"/>
    <w:rsid w:val="00703212"/>
    <w:rsid w:val="00703A83"/>
    <w:rsid w:val="00703F59"/>
    <w:rsid w:val="00715262"/>
    <w:rsid w:val="0072122D"/>
    <w:rsid w:val="007256CD"/>
    <w:rsid w:val="00725786"/>
    <w:rsid w:val="00742A14"/>
    <w:rsid w:val="00742DF9"/>
    <w:rsid w:val="00750974"/>
    <w:rsid w:val="0075209D"/>
    <w:rsid w:val="00755E28"/>
    <w:rsid w:val="00762F3E"/>
    <w:rsid w:val="00764E12"/>
    <w:rsid w:val="00770FBD"/>
    <w:rsid w:val="0077791E"/>
    <w:rsid w:val="00786F87"/>
    <w:rsid w:val="0079377D"/>
    <w:rsid w:val="007960BA"/>
    <w:rsid w:val="007A334B"/>
    <w:rsid w:val="007A5112"/>
    <w:rsid w:val="007A5D48"/>
    <w:rsid w:val="007A730E"/>
    <w:rsid w:val="007C06A8"/>
    <w:rsid w:val="007C1DA3"/>
    <w:rsid w:val="007C54E2"/>
    <w:rsid w:val="007C5C25"/>
    <w:rsid w:val="007C77A8"/>
    <w:rsid w:val="007D3613"/>
    <w:rsid w:val="007D4BBC"/>
    <w:rsid w:val="007D5ABF"/>
    <w:rsid w:val="007E2BF2"/>
    <w:rsid w:val="007F2702"/>
    <w:rsid w:val="007F2E08"/>
    <w:rsid w:val="007F4E5E"/>
    <w:rsid w:val="007F610C"/>
    <w:rsid w:val="00803D1A"/>
    <w:rsid w:val="008043DB"/>
    <w:rsid w:val="00804BFE"/>
    <w:rsid w:val="00804DB4"/>
    <w:rsid w:val="008223B8"/>
    <w:rsid w:val="008245F8"/>
    <w:rsid w:val="00827E98"/>
    <w:rsid w:val="00846E65"/>
    <w:rsid w:val="0085179E"/>
    <w:rsid w:val="00862329"/>
    <w:rsid w:val="00864679"/>
    <w:rsid w:val="008750BD"/>
    <w:rsid w:val="00875D3B"/>
    <w:rsid w:val="0088128F"/>
    <w:rsid w:val="00894041"/>
    <w:rsid w:val="0089622D"/>
    <w:rsid w:val="008A0749"/>
    <w:rsid w:val="008A0CA7"/>
    <w:rsid w:val="008A29FE"/>
    <w:rsid w:val="008A423D"/>
    <w:rsid w:val="008A59DD"/>
    <w:rsid w:val="008D2901"/>
    <w:rsid w:val="008D49C8"/>
    <w:rsid w:val="008F0A10"/>
    <w:rsid w:val="008F35BF"/>
    <w:rsid w:val="00910DFA"/>
    <w:rsid w:val="009119C3"/>
    <w:rsid w:val="00913AB6"/>
    <w:rsid w:val="0091655A"/>
    <w:rsid w:val="00921BDE"/>
    <w:rsid w:val="00924EAD"/>
    <w:rsid w:val="009308B7"/>
    <w:rsid w:val="009322E5"/>
    <w:rsid w:val="00942E5F"/>
    <w:rsid w:val="00943418"/>
    <w:rsid w:val="009536C9"/>
    <w:rsid w:val="00962348"/>
    <w:rsid w:val="00977EC6"/>
    <w:rsid w:val="00985710"/>
    <w:rsid w:val="00987229"/>
    <w:rsid w:val="009919D6"/>
    <w:rsid w:val="00992191"/>
    <w:rsid w:val="009A1A1A"/>
    <w:rsid w:val="009A65A8"/>
    <w:rsid w:val="009B3931"/>
    <w:rsid w:val="009C0D0A"/>
    <w:rsid w:val="009D2D8F"/>
    <w:rsid w:val="009D4050"/>
    <w:rsid w:val="009D4C68"/>
    <w:rsid w:val="009D56D8"/>
    <w:rsid w:val="009D71EA"/>
    <w:rsid w:val="009D7A1C"/>
    <w:rsid w:val="009E2203"/>
    <w:rsid w:val="009E371E"/>
    <w:rsid w:val="009E663E"/>
    <w:rsid w:val="009E6E92"/>
    <w:rsid w:val="009F1309"/>
    <w:rsid w:val="009F3571"/>
    <w:rsid w:val="00A116A0"/>
    <w:rsid w:val="00A11D00"/>
    <w:rsid w:val="00A16E7B"/>
    <w:rsid w:val="00A17868"/>
    <w:rsid w:val="00A21340"/>
    <w:rsid w:val="00A36417"/>
    <w:rsid w:val="00A367F7"/>
    <w:rsid w:val="00A36CFD"/>
    <w:rsid w:val="00A428C5"/>
    <w:rsid w:val="00A454CB"/>
    <w:rsid w:val="00A45644"/>
    <w:rsid w:val="00A47137"/>
    <w:rsid w:val="00A61783"/>
    <w:rsid w:val="00A61830"/>
    <w:rsid w:val="00A66E3B"/>
    <w:rsid w:val="00A70138"/>
    <w:rsid w:val="00A829C7"/>
    <w:rsid w:val="00A836C6"/>
    <w:rsid w:val="00A8662B"/>
    <w:rsid w:val="00A87678"/>
    <w:rsid w:val="00A877C1"/>
    <w:rsid w:val="00A937F8"/>
    <w:rsid w:val="00AA10EA"/>
    <w:rsid w:val="00AA4EFD"/>
    <w:rsid w:val="00AA570B"/>
    <w:rsid w:val="00AA6FFB"/>
    <w:rsid w:val="00AB34B2"/>
    <w:rsid w:val="00AD3532"/>
    <w:rsid w:val="00AD601F"/>
    <w:rsid w:val="00AE2C1F"/>
    <w:rsid w:val="00AE3C5D"/>
    <w:rsid w:val="00AF3DAD"/>
    <w:rsid w:val="00AF7180"/>
    <w:rsid w:val="00B01207"/>
    <w:rsid w:val="00B12DEF"/>
    <w:rsid w:val="00B141B6"/>
    <w:rsid w:val="00B14AB4"/>
    <w:rsid w:val="00B175BC"/>
    <w:rsid w:val="00B20C3F"/>
    <w:rsid w:val="00B2143A"/>
    <w:rsid w:val="00B233DE"/>
    <w:rsid w:val="00B236F3"/>
    <w:rsid w:val="00B2430C"/>
    <w:rsid w:val="00B34CC8"/>
    <w:rsid w:val="00B36FFF"/>
    <w:rsid w:val="00B474F2"/>
    <w:rsid w:val="00B54126"/>
    <w:rsid w:val="00B65B13"/>
    <w:rsid w:val="00B7598C"/>
    <w:rsid w:val="00B908B4"/>
    <w:rsid w:val="00B91102"/>
    <w:rsid w:val="00B92342"/>
    <w:rsid w:val="00B94A75"/>
    <w:rsid w:val="00BA4976"/>
    <w:rsid w:val="00BB041C"/>
    <w:rsid w:val="00BB47B9"/>
    <w:rsid w:val="00BB70BF"/>
    <w:rsid w:val="00BD7FDD"/>
    <w:rsid w:val="00BE741E"/>
    <w:rsid w:val="00BF168D"/>
    <w:rsid w:val="00BF3A22"/>
    <w:rsid w:val="00C00C53"/>
    <w:rsid w:val="00C04C4A"/>
    <w:rsid w:val="00C161AB"/>
    <w:rsid w:val="00C228C5"/>
    <w:rsid w:val="00C2505A"/>
    <w:rsid w:val="00C30A98"/>
    <w:rsid w:val="00C319E9"/>
    <w:rsid w:val="00C329A3"/>
    <w:rsid w:val="00C34D13"/>
    <w:rsid w:val="00C42191"/>
    <w:rsid w:val="00C42456"/>
    <w:rsid w:val="00C4317C"/>
    <w:rsid w:val="00C473DB"/>
    <w:rsid w:val="00C520D6"/>
    <w:rsid w:val="00C60400"/>
    <w:rsid w:val="00C61940"/>
    <w:rsid w:val="00C71C50"/>
    <w:rsid w:val="00C734C5"/>
    <w:rsid w:val="00C74C17"/>
    <w:rsid w:val="00C74FAE"/>
    <w:rsid w:val="00C84559"/>
    <w:rsid w:val="00C84DE1"/>
    <w:rsid w:val="00C87B7A"/>
    <w:rsid w:val="00C937D1"/>
    <w:rsid w:val="00C965B2"/>
    <w:rsid w:val="00CA09DC"/>
    <w:rsid w:val="00CA79D3"/>
    <w:rsid w:val="00CB393E"/>
    <w:rsid w:val="00CB764D"/>
    <w:rsid w:val="00CC071C"/>
    <w:rsid w:val="00CC0E77"/>
    <w:rsid w:val="00CC3155"/>
    <w:rsid w:val="00CD191D"/>
    <w:rsid w:val="00CD4322"/>
    <w:rsid w:val="00CE13FF"/>
    <w:rsid w:val="00CE6931"/>
    <w:rsid w:val="00CF3CAF"/>
    <w:rsid w:val="00CF458B"/>
    <w:rsid w:val="00D010B4"/>
    <w:rsid w:val="00D104F9"/>
    <w:rsid w:val="00D12C92"/>
    <w:rsid w:val="00D21177"/>
    <w:rsid w:val="00D24572"/>
    <w:rsid w:val="00D3371E"/>
    <w:rsid w:val="00D41A51"/>
    <w:rsid w:val="00D50693"/>
    <w:rsid w:val="00D55546"/>
    <w:rsid w:val="00D63A28"/>
    <w:rsid w:val="00D70548"/>
    <w:rsid w:val="00D750FB"/>
    <w:rsid w:val="00D76ADE"/>
    <w:rsid w:val="00D832EC"/>
    <w:rsid w:val="00D94E89"/>
    <w:rsid w:val="00D97106"/>
    <w:rsid w:val="00DA2F08"/>
    <w:rsid w:val="00DA7AFE"/>
    <w:rsid w:val="00DB0365"/>
    <w:rsid w:val="00DB176A"/>
    <w:rsid w:val="00DB2B17"/>
    <w:rsid w:val="00DB2F1C"/>
    <w:rsid w:val="00DB5C08"/>
    <w:rsid w:val="00DC0B12"/>
    <w:rsid w:val="00DC2FED"/>
    <w:rsid w:val="00DC36BF"/>
    <w:rsid w:val="00DC6492"/>
    <w:rsid w:val="00DC654A"/>
    <w:rsid w:val="00DD7BA8"/>
    <w:rsid w:val="00DE2E12"/>
    <w:rsid w:val="00DF0098"/>
    <w:rsid w:val="00DF687C"/>
    <w:rsid w:val="00DF7221"/>
    <w:rsid w:val="00E018D6"/>
    <w:rsid w:val="00E10F32"/>
    <w:rsid w:val="00E16FD6"/>
    <w:rsid w:val="00E31F9C"/>
    <w:rsid w:val="00E34DAE"/>
    <w:rsid w:val="00E45A20"/>
    <w:rsid w:val="00E46723"/>
    <w:rsid w:val="00E553B1"/>
    <w:rsid w:val="00E56C7A"/>
    <w:rsid w:val="00E575F1"/>
    <w:rsid w:val="00E628F7"/>
    <w:rsid w:val="00E81ECE"/>
    <w:rsid w:val="00E8515B"/>
    <w:rsid w:val="00E87063"/>
    <w:rsid w:val="00E96534"/>
    <w:rsid w:val="00E97B60"/>
    <w:rsid w:val="00EA1720"/>
    <w:rsid w:val="00EA20A0"/>
    <w:rsid w:val="00EA4030"/>
    <w:rsid w:val="00EA40FC"/>
    <w:rsid w:val="00EA6016"/>
    <w:rsid w:val="00EB6311"/>
    <w:rsid w:val="00ED2B9A"/>
    <w:rsid w:val="00EE33DC"/>
    <w:rsid w:val="00EF05CF"/>
    <w:rsid w:val="00EF0A99"/>
    <w:rsid w:val="00EF538B"/>
    <w:rsid w:val="00EF79F8"/>
    <w:rsid w:val="00F12286"/>
    <w:rsid w:val="00F17D37"/>
    <w:rsid w:val="00F215F0"/>
    <w:rsid w:val="00F23E61"/>
    <w:rsid w:val="00F314B1"/>
    <w:rsid w:val="00F40C1D"/>
    <w:rsid w:val="00F51C89"/>
    <w:rsid w:val="00F55444"/>
    <w:rsid w:val="00F613D4"/>
    <w:rsid w:val="00F70F39"/>
    <w:rsid w:val="00F765EC"/>
    <w:rsid w:val="00F815A6"/>
    <w:rsid w:val="00F90785"/>
    <w:rsid w:val="00F911F1"/>
    <w:rsid w:val="00F96C13"/>
    <w:rsid w:val="00F971F0"/>
    <w:rsid w:val="00FA1FE5"/>
    <w:rsid w:val="00FA7179"/>
    <w:rsid w:val="00FB1A95"/>
    <w:rsid w:val="00FB79FE"/>
    <w:rsid w:val="00FC1F1F"/>
    <w:rsid w:val="00FC2E3D"/>
    <w:rsid w:val="00FC731C"/>
    <w:rsid w:val="00FD00BC"/>
    <w:rsid w:val="00FD46CE"/>
    <w:rsid w:val="00FD4E6D"/>
    <w:rsid w:val="00FE2F77"/>
    <w:rsid w:val="00FF2625"/>
    <w:rsid w:val="00FF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A7516"/>
  <w15:chartTrackingRefBased/>
  <w15:docId w15:val="{69FC222E-3C6F-42F3-90F4-D167A9C3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9A1A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spacing w:after="120" w:line="288" w:lineRule="auto"/>
      <w:outlineLvl w:val="2"/>
    </w:pPr>
    <w:rPr>
      <w:rFonts w:ascii="Times New Roman" w:eastAsia="Times New Roman" w:hAnsi="Times New Roman" w:cs="Arial"/>
      <w:b/>
      <w:iCs/>
      <w:spacing w:val="20"/>
      <w:sz w:val="28"/>
      <w:szCs w:val="28"/>
      <w:lang w:val="sl-S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A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A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ilTablice">
    <w:name w:val="StilTablice"/>
    <w:basedOn w:val="TableNormal"/>
    <w:uiPriority w:val="99"/>
    <w:rsid w:val="00BB70BF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character" w:customStyle="1" w:styleId="Heading3Char">
    <w:name w:val="Heading 3 Char"/>
    <w:basedOn w:val="DefaultParagraphFont"/>
    <w:link w:val="Heading3"/>
    <w:rsid w:val="009A1A1A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A1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A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nhideWhenUsed/>
    <w:rsid w:val="009A1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A1A1A"/>
  </w:style>
  <w:style w:type="table" w:styleId="TableGrid">
    <w:name w:val="Table Grid"/>
    <w:basedOn w:val="TableNormal"/>
    <w:uiPriority w:val="39"/>
    <w:rsid w:val="009A1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1A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1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A1A"/>
    <w:rPr>
      <w:rFonts w:ascii="Tahoma" w:hAnsi="Tahoma" w:cs="Tahoma"/>
      <w:sz w:val="16"/>
      <w:szCs w:val="16"/>
    </w:rPr>
  </w:style>
  <w:style w:type="paragraph" w:customStyle="1" w:styleId="CellHeader">
    <w:name w:val="CellHeader"/>
    <w:basedOn w:val="Normal"/>
    <w:qFormat/>
    <w:rsid w:val="009A1A1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Arial"/>
      <w:bCs/>
      <w:sz w:val="20"/>
      <w:lang w:val="sl-SI" w:eastAsia="hr-HR"/>
    </w:rPr>
  </w:style>
  <w:style w:type="paragraph" w:customStyle="1" w:styleId="CellColumn">
    <w:name w:val="CellColumn"/>
    <w:basedOn w:val="CellHeader"/>
    <w:qFormat/>
    <w:rsid w:val="009A1A1A"/>
  </w:style>
  <w:style w:type="character" w:styleId="CommentReference">
    <w:name w:val="annotation reference"/>
    <w:basedOn w:val="DefaultParagraphFont"/>
    <w:uiPriority w:val="99"/>
    <w:semiHidden/>
    <w:unhideWhenUsed/>
    <w:rsid w:val="009A1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A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A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A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A1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A1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A1A"/>
  </w:style>
  <w:style w:type="table" w:customStyle="1" w:styleId="StilTablice1">
    <w:name w:val="StilTablice1"/>
    <w:basedOn w:val="TableNormal"/>
    <w:uiPriority w:val="99"/>
    <w:rsid w:val="009A1A1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styleId="Revision">
    <w:name w:val="Revision"/>
    <w:hidden/>
    <w:uiPriority w:val="99"/>
    <w:semiHidden/>
    <w:rsid w:val="009A1A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29264-695D-4270-A035-CAA43BCA4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3295</Words>
  <Characters>18783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Tušek</dc:creator>
  <cp:keywords/>
  <dc:description/>
  <cp:lastModifiedBy>Ljiljana Kuterovac</cp:lastModifiedBy>
  <cp:revision>3</cp:revision>
  <cp:lastPrinted>2026-03-09T15:11:00Z</cp:lastPrinted>
  <dcterms:created xsi:type="dcterms:W3CDTF">2026-03-13T12:47:00Z</dcterms:created>
  <dcterms:modified xsi:type="dcterms:W3CDTF">2026-03-13T13:02:00Z</dcterms:modified>
</cp:coreProperties>
</file>