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0F14" w14:textId="28B899C5" w:rsidR="00BB70BF" w:rsidRPr="000053C5" w:rsidRDefault="0075209D" w:rsidP="00863AE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053C5">
        <w:rPr>
          <w:rFonts w:ascii="Times New Roman" w:hAnsi="Times New Roman" w:cs="Times New Roman"/>
          <w:b/>
          <w:sz w:val="26"/>
          <w:szCs w:val="26"/>
        </w:rPr>
        <w:t>O</w:t>
      </w:r>
      <w:r w:rsidR="00EF05CF" w:rsidRPr="000053C5">
        <w:rPr>
          <w:rFonts w:ascii="Times New Roman" w:hAnsi="Times New Roman" w:cs="Times New Roman"/>
          <w:b/>
          <w:sz w:val="26"/>
          <w:szCs w:val="26"/>
        </w:rPr>
        <w:t>brazložen</w:t>
      </w:r>
      <w:r w:rsidRPr="000053C5">
        <w:rPr>
          <w:rFonts w:ascii="Times New Roman" w:hAnsi="Times New Roman" w:cs="Times New Roman"/>
          <w:b/>
          <w:sz w:val="26"/>
          <w:szCs w:val="26"/>
        </w:rPr>
        <w:t xml:space="preserve">je Posebnog dijela </w:t>
      </w:r>
      <w:r w:rsidR="00EF05CF" w:rsidRPr="000053C5">
        <w:rPr>
          <w:rFonts w:ascii="Times New Roman" w:hAnsi="Times New Roman" w:cs="Times New Roman"/>
          <w:b/>
          <w:sz w:val="26"/>
          <w:szCs w:val="26"/>
        </w:rPr>
        <w:t>financijskog plana</w:t>
      </w:r>
      <w:r w:rsidRPr="000053C5">
        <w:rPr>
          <w:rFonts w:ascii="Times New Roman" w:hAnsi="Times New Roman" w:cs="Times New Roman"/>
          <w:b/>
          <w:sz w:val="26"/>
          <w:szCs w:val="26"/>
        </w:rPr>
        <w:t xml:space="preserve"> Državnog zavoda</w:t>
      </w:r>
      <w:r w:rsidR="00BB70BF" w:rsidRPr="000053C5">
        <w:rPr>
          <w:rFonts w:ascii="Times New Roman" w:hAnsi="Times New Roman" w:cs="Times New Roman"/>
          <w:b/>
          <w:sz w:val="26"/>
          <w:szCs w:val="26"/>
        </w:rPr>
        <w:t xml:space="preserve"> za intelektualno vlasništvo</w:t>
      </w:r>
      <w:r w:rsidRPr="000053C5">
        <w:rPr>
          <w:rFonts w:ascii="Times New Roman" w:hAnsi="Times New Roman" w:cs="Times New Roman"/>
          <w:b/>
          <w:sz w:val="26"/>
          <w:szCs w:val="26"/>
        </w:rPr>
        <w:t xml:space="preserve"> (202</w:t>
      </w:r>
      <w:r w:rsidR="000053C5">
        <w:rPr>
          <w:rFonts w:ascii="Times New Roman" w:hAnsi="Times New Roman" w:cs="Times New Roman"/>
          <w:b/>
          <w:sz w:val="26"/>
          <w:szCs w:val="26"/>
        </w:rPr>
        <w:t>6</w:t>
      </w:r>
      <w:r w:rsidRPr="000053C5">
        <w:rPr>
          <w:rFonts w:ascii="Times New Roman" w:hAnsi="Times New Roman" w:cs="Times New Roman"/>
          <w:b/>
          <w:sz w:val="26"/>
          <w:szCs w:val="26"/>
        </w:rPr>
        <w:t>-202</w:t>
      </w:r>
      <w:r w:rsidR="000053C5">
        <w:rPr>
          <w:rFonts w:ascii="Times New Roman" w:hAnsi="Times New Roman" w:cs="Times New Roman"/>
          <w:b/>
          <w:sz w:val="26"/>
          <w:szCs w:val="26"/>
        </w:rPr>
        <w:t>8</w:t>
      </w:r>
      <w:r w:rsidRPr="000053C5">
        <w:rPr>
          <w:rFonts w:ascii="Times New Roman" w:hAnsi="Times New Roman" w:cs="Times New Roman"/>
          <w:b/>
          <w:sz w:val="26"/>
          <w:szCs w:val="26"/>
        </w:rPr>
        <w:t>)</w:t>
      </w:r>
    </w:p>
    <w:p w14:paraId="5FFBE531" w14:textId="77777777" w:rsidR="00EF05CF" w:rsidRPr="00B61107" w:rsidRDefault="00EF05CF">
      <w:pPr>
        <w:rPr>
          <w:rFonts w:ascii="Times New Roman" w:hAnsi="Times New Roman" w:cs="Times New Roman"/>
          <w:highlight w:val="yellow"/>
        </w:rPr>
      </w:pPr>
    </w:p>
    <w:p w14:paraId="5D946543" w14:textId="77777777" w:rsidR="00EF05CF" w:rsidRPr="00F114B2" w:rsidRDefault="008043DB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F114B2">
        <w:rPr>
          <w:rFonts w:ascii="Times New Roman" w:hAnsi="Times New Roman" w:cs="Times New Roman"/>
          <w:b/>
          <w:sz w:val="28"/>
        </w:rPr>
        <w:t xml:space="preserve">08012 </w:t>
      </w:r>
      <w:r w:rsidRPr="00F114B2">
        <w:rPr>
          <w:rFonts w:ascii="Times New Roman" w:hAnsi="Times New Roman" w:cs="Times New Roman"/>
          <w:b/>
          <w:sz w:val="28"/>
        </w:rPr>
        <w:tab/>
      </w:r>
      <w:r w:rsidR="00EF05CF" w:rsidRPr="00F114B2">
        <w:rPr>
          <w:rFonts w:ascii="Times New Roman" w:hAnsi="Times New Roman" w:cs="Times New Roman"/>
          <w:b/>
          <w:sz w:val="28"/>
        </w:rPr>
        <w:t xml:space="preserve">Sažetak djelokruga </w:t>
      </w:r>
      <w:r w:rsidR="00F51C89" w:rsidRPr="00F114B2">
        <w:rPr>
          <w:rFonts w:ascii="Times New Roman" w:hAnsi="Times New Roman" w:cs="Times New Roman"/>
          <w:b/>
          <w:sz w:val="28"/>
        </w:rPr>
        <w:t xml:space="preserve">Državnog zavoda za intelektualno vlasništvo </w:t>
      </w:r>
    </w:p>
    <w:p w14:paraId="19A3E5A1" w14:textId="77777777" w:rsidR="00EB6311" w:rsidRPr="00F114B2" w:rsidRDefault="00BB70BF" w:rsidP="007F610C">
      <w:pPr>
        <w:jc w:val="both"/>
        <w:rPr>
          <w:rFonts w:ascii="Times New Roman" w:hAnsi="Times New Roman" w:cs="Times New Roman"/>
          <w:sz w:val="24"/>
          <w:szCs w:val="24"/>
        </w:rPr>
      </w:pPr>
      <w:r w:rsidRPr="00F114B2">
        <w:rPr>
          <w:rFonts w:ascii="Times New Roman" w:hAnsi="Times New Roman" w:cs="Times New Roman"/>
          <w:sz w:val="24"/>
          <w:szCs w:val="24"/>
        </w:rPr>
        <w:t>Državni zavod za intelektualno vlasništvo (DZIV-a) obavlja sljedeće poslove i zadatke iz svoje nadležnosti:</w:t>
      </w:r>
    </w:p>
    <w:p w14:paraId="2F94AD9A" w14:textId="77777777" w:rsidR="00EB6311" w:rsidRPr="00F114B2" w:rsidRDefault="00EB6311" w:rsidP="00EB631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B2">
        <w:rPr>
          <w:rFonts w:ascii="Times New Roman" w:hAnsi="Times New Roman" w:cs="Times New Roman"/>
          <w:sz w:val="24"/>
          <w:szCs w:val="24"/>
        </w:rPr>
        <w:t>razvoj zakonodavnog okvira za zaštitu industrijskog vlasništva usklađen s pravnim okvirom Europske unije i međunarodnim pravnim okvirom te nacionalnim strateškim okvirom;</w:t>
      </w:r>
    </w:p>
    <w:p w14:paraId="75D4AA9C" w14:textId="77777777" w:rsidR="00EB6311" w:rsidRPr="00F114B2" w:rsidRDefault="00EB6311" w:rsidP="00EB631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B2">
        <w:rPr>
          <w:rFonts w:ascii="Times New Roman" w:hAnsi="Times New Roman" w:cs="Times New Roman"/>
          <w:sz w:val="24"/>
          <w:szCs w:val="24"/>
        </w:rPr>
        <w:t xml:space="preserve">osiguravanje kvalitetne i učinkovite provedbe postupaka za priznanje prava industrijskog vlasništva na teritoriju Republike Hrvatske (RH), koje DZIV provodi samostalno ili putem odgovarajućih međunarodnih i europskih sustava u kojima RH sudjeluje; </w:t>
      </w:r>
    </w:p>
    <w:p w14:paraId="7AA20F51" w14:textId="77777777" w:rsidR="00EB6311" w:rsidRPr="00F114B2" w:rsidRDefault="00EB6311" w:rsidP="00EB631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B2">
        <w:rPr>
          <w:rFonts w:ascii="Times New Roman" w:hAnsi="Times New Roman" w:cs="Times New Roman"/>
          <w:sz w:val="24"/>
          <w:szCs w:val="24"/>
        </w:rPr>
        <w:t>osiguravanje, učinkovitog i poticajnog sustava zaštite autorskih i srodnih prava, usklađenog s tehnološkim razvojem, kroz razvoj odgovarajućeg zakonodavnog okvira, nadzor nad sustavom kolektivnog ostvarivanja prava te provedbu i razvoj prateće stručne djelatnosti;</w:t>
      </w:r>
    </w:p>
    <w:p w14:paraId="36327EF4" w14:textId="1AD2A5B6" w:rsidR="00EB6311" w:rsidRPr="00F114B2" w:rsidRDefault="00EB6311" w:rsidP="00EB631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B2">
        <w:rPr>
          <w:rFonts w:ascii="Times New Roman" w:hAnsi="Times New Roman" w:cs="Times New Roman"/>
          <w:sz w:val="24"/>
          <w:szCs w:val="24"/>
        </w:rPr>
        <w:t xml:space="preserve">zastupanje interesa RH u razvoju zajedničkog zakonodavnog i institucionalnog okvira Europske unije u području intelektualnog vlasništva; </w:t>
      </w:r>
    </w:p>
    <w:p w14:paraId="4A3D191A" w14:textId="77777777" w:rsidR="00EB6311" w:rsidRPr="00F114B2" w:rsidRDefault="00EB6311" w:rsidP="00EB631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B2">
        <w:rPr>
          <w:rFonts w:ascii="Times New Roman" w:hAnsi="Times New Roman" w:cs="Times New Roman"/>
          <w:sz w:val="24"/>
          <w:szCs w:val="24"/>
        </w:rPr>
        <w:t xml:space="preserve">zastupanje interesa i jačanje utjecaja RH u međunarodnim (europskim i svjetskim) organizacijama i tijelima Europske unije iz područja intelektualnog vlasništva te daljnji razvoj članstva u međunarodnim konvencijama i ugovorima u skladu s ciljevima razvoja nacionalnog sustava intelektualnog vlasništva; </w:t>
      </w:r>
    </w:p>
    <w:p w14:paraId="24F8D8B5" w14:textId="77777777" w:rsidR="00EB6311" w:rsidRPr="00F114B2" w:rsidRDefault="00EB6311" w:rsidP="00EB631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B2">
        <w:rPr>
          <w:rFonts w:ascii="Times New Roman" w:hAnsi="Times New Roman" w:cs="Times New Roman"/>
          <w:sz w:val="24"/>
          <w:szCs w:val="24"/>
        </w:rPr>
        <w:t xml:space="preserve">osiguravanje provedbe obveza iz međunarodnih konvencija i ugovora iz područja intelektualnog vlasništva kojih je RH članica i koje su u nadležnosti DZIV-a; </w:t>
      </w:r>
    </w:p>
    <w:p w14:paraId="799E5E8F" w14:textId="77777777" w:rsidR="00EB6311" w:rsidRPr="00F114B2" w:rsidRDefault="00EB6311" w:rsidP="00EB631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B2">
        <w:rPr>
          <w:rFonts w:ascii="Times New Roman" w:hAnsi="Times New Roman" w:cs="Times New Roman"/>
          <w:sz w:val="24"/>
          <w:szCs w:val="24"/>
        </w:rPr>
        <w:t xml:space="preserve">doprinos razvoju učinkovitog nacionalnog sustava provedbe prava intelektualnog vlasništva, uključujući suzbijanje prometa krivotvorenim proizvodima i piratstva, u suradnji i uz koordinaciju s tijelima za provedbu prava te drugim dionicima sustava iz javnog i privatnog sektora; </w:t>
      </w:r>
    </w:p>
    <w:p w14:paraId="4B9E86BD" w14:textId="77777777" w:rsidR="00EB6311" w:rsidRPr="00F114B2" w:rsidRDefault="00EB6311" w:rsidP="00EB631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B2">
        <w:rPr>
          <w:rFonts w:ascii="Times New Roman" w:hAnsi="Times New Roman" w:cs="Times New Roman"/>
          <w:sz w:val="24"/>
          <w:szCs w:val="24"/>
        </w:rPr>
        <w:t xml:space="preserve">doprinos razvoju primjene prava intelektualnog vlasništva u relevantnim gospodarskim i društvenim sektorima radi jačanja inovacijskih i kreativnih djelatnosti te jačanja konkurentnosti relevantnih sektora; </w:t>
      </w:r>
    </w:p>
    <w:p w14:paraId="1BA3E4FE" w14:textId="77777777" w:rsidR="00EB6311" w:rsidRPr="00F114B2" w:rsidRDefault="00EB6311" w:rsidP="00EB631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B2">
        <w:rPr>
          <w:rFonts w:ascii="Times New Roman" w:hAnsi="Times New Roman" w:cs="Times New Roman"/>
          <w:sz w:val="24"/>
          <w:szCs w:val="24"/>
        </w:rPr>
        <w:t xml:space="preserve">održavanje i razvoj nacionalnih digitalnih registara industrijskog vlasništva te razvoj i održavanje pratećih nacionalnih i međunarodnih digitalnih servisa i e-usluga; </w:t>
      </w:r>
    </w:p>
    <w:p w14:paraId="7994A010" w14:textId="77777777" w:rsidR="00EB6311" w:rsidRPr="00F114B2" w:rsidRDefault="00EB6311" w:rsidP="00EB631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B2">
        <w:rPr>
          <w:rFonts w:ascii="Times New Roman" w:hAnsi="Times New Roman" w:cs="Times New Roman"/>
          <w:sz w:val="24"/>
          <w:szCs w:val="24"/>
        </w:rPr>
        <w:t>razvoj javnih informacijskih i stručnih usluga te potpore korisnicima sustava zaštite i primjene intelektualnog vlasništva u suradnji s drugim dionicima nacionalnog inovacijskog sustava i sektora kreativnih i kulturnih industrija.</w:t>
      </w:r>
    </w:p>
    <w:p w14:paraId="155D2270" w14:textId="706FE04D" w:rsidR="001F63EF" w:rsidRPr="009043C4" w:rsidRDefault="00BB70BF" w:rsidP="00562A9D">
      <w:pPr>
        <w:jc w:val="both"/>
        <w:rPr>
          <w:rFonts w:ascii="Times New Roman" w:hAnsi="Times New Roman" w:cs="Times New Roman"/>
          <w:sz w:val="24"/>
          <w:szCs w:val="24"/>
        </w:rPr>
      </w:pPr>
      <w:r w:rsidRPr="009043C4">
        <w:rPr>
          <w:rFonts w:ascii="Times New Roman" w:hAnsi="Times New Roman" w:cs="Times New Roman"/>
          <w:sz w:val="24"/>
          <w:szCs w:val="24"/>
        </w:rPr>
        <w:t xml:space="preserve">Navedena djelatnost DZIV-a temelji se na obavljanju specijalističkih poslova za koje su nužni visokoobrazovani kadrovi sa specijalističkim znanjima iz različitih područja intelektualnog vlasništva te iz pojedinih područja tehnike i tehnologije, kao i  na potpornim složenim poslovnim informatičkim i komunikacijskim sustavima, s obzirom na međupovezanost nacionalnog sustava intelektualnog vlasništva s europskim i međunarodnim sustavom te rastući stupanj digitalizacije poslovanja gospodarstva, javne uprave te europskih i međunarodnih </w:t>
      </w:r>
      <w:r w:rsidRPr="009043C4">
        <w:rPr>
          <w:rFonts w:ascii="Times New Roman" w:hAnsi="Times New Roman" w:cs="Times New Roman"/>
          <w:sz w:val="24"/>
          <w:szCs w:val="24"/>
        </w:rPr>
        <w:lastRenderedPageBreak/>
        <w:t>organizacija iz područja intelektualnog vlasništva. Iz tih razloga najveći dio planiranih ukupnih rashoda, osobito rashoda financiranih s izvora 11, odnosi se na rashode za zaposlene (skupina 31)</w:t>
      </w:r>
      <w:r w:rsidR="009043C4">
        <w:rPr>
          <w:rFonts w:ascii="Times New Roman" w:hAnsi="Times New Roman" w:cs="Times New Roman"/>
          <w:sz w:val="24"/>
          <w:szCs w:val="24"/>
        </w:rPr>
        <w:t>.</w:t>
      </w:r>
      <w:r w:rsidRPr="009043C4">
        <w:rPr>
          <w:rFonts w:ascii="Times New Roman" w:hAnsi="Times New Roman" w:cs="Times New Roman"/>
          <w:sz w:val="24"/>
          <w:szCs w:val="24"/>
        </w:rPr>
        <w:t xml:space="preserve"> </w:t>
      </w:r>
      <w:r w:rsidR="009043C4">
        <w:rPr>
          <w:rFonts w:ascii="Times New Roman" w:hAnsi="Times New Roman" w:cs="Times New Roman"/>
          <w:sz w:val="24"/>
          <w:szCs w:val="24"/>
        </w:rPr>
        <w:t>N</w:t>
      </w:r>
      <w:r w:rsidRPr="009043C4">
        <w:rPr>
          <w:rFonts w:ascii="Times New Roman" w:hAnsi="Times New Roman" w:cs="Times New Roman"/>
          <w:sz w:val="24"/>
          <w:szCs w:val="24"/>
        </w:rPr>
        <w:t xml:space="preserve">ajznačajnije materijalne rashode čine rashodi za održavanje i razvoj digitalnog poslovanja DZIV-a, koji se financiraju </w:t>
      </w:r>
      <w:r w:rsidR="009043C4">
        <w:rPr>
          <w:rFonts w:ascii="Times New Roman" w:hAnsi="Times New Roman" w:cs="Times New Roman"/>
          <w:sz w:val="24"/>
          <w:szCs w:val="24"/>
        </w:rPr>
        <w:t xml:space="preserve">u vrlo malom postotnom udjelu </w:t>
      </w:r>
      <w:r w:rsidRPr="009043C4">
        <w:rPr>
          <w:rFonts w:ascii="Times New Roman" w:hAnsi="Times New Roman" w:cs="Times New Roman"/>
          <w:sz w:val="24"/>
          <w:szCs w:val="24"/>
        </w:rPr>
        <w:t>s izvora 11</w:t>
      </w:r>
      <w:r w:rsidR="009043C4">
        <w:rPr>
          <w:rFonts w:ascii="Times New Roman" w:hAnsi="Times New Roman" w:cs="Times New Roman"/>
          <w:sz w:val="24"/>
          <w:szCs w:val="24"/>
        </w:rPr>
        <w:t>, a većinom s</w:t>
      </w:r>
      <w:r w:rsidRPr="009043C4">
        <w:rPr>
          <w:rFonts w:ascii="Times New Roman" w:hAnsi="Times New Roman" w:cs="Times New Roman"/>
          <w:sz w:val="24"/>
          <w:szCs w:val="24"/>
        </w:rPr>
        <w:t xml:space="preserve"> izvora 43-</w:t>
      </w:r>
      <w:r w:rsidR="009119C3" w:rsidRPr="009043C4">
        <w:rPr>
          <w:rFonts w:ascii="Times New Roman" w:hAnsi="Times New Roman" w:cs="Times New Roman"/>
          <w:sz w:val="24"/>
          <w:szCs w:val="24"/>
        </w:rPr>
        <w:t xml:space="preserve"> T</w:t>
      </w:r>
      <w:r w:rsidR="00EE33DC" w:rsidRPr="009043C4">
        <w:rPr>
          <w:rFonts w:ascii="Times New Roman" w:hAnsi="Times New Roman" w:cs="Times New Roman"/>
          <w:sz w:val="24"/>
          <w:szCs w:val="24"/>
        </w:rPr>
        <w:t>.</w:t>
      </w:r>
    </w:p>
    <w:p w14:paraId="3CDADA3C" w14:textId="1DA88920" w:rsidR="00BB70BF" w:rsidRPr="007B38B2" w:rsidRDefault="007B38B2" w:rsidP="00562A9D">
      <w:pPr>
        <w:jc w:val="both"/>
        <w:rPr>
          <w:rFonts w:ascii="Times New Roman" w:hAnsi="Times New Roman" w:cs="Times New Roman"/>
          <w:sz w:val="24"/>
          <w:szCs w:val="24"/>
        </w:rPr>
      </w:pPr>
      <w:r w:rsidRPr="00B61107">
        <w:rPr>
          <w:rFonts w:ascii="Times New Roman" w:hAnsi="Times New Roman" w:cs="Times New Roman"/>
          <w:sz w:val="24"/>
          <w:szCs w:val="24"/>
        </w:rPr>
        <w:t>O</w:t>
      </w:r>
      <w:r w:rsidR="00BB70BF" w:rsidRPr="007B38B2">
        <w:rPr>
          <w:rFonts w:ascii="Times New Roman" w:hAnsi="Times New Roman" w:cs="Times New Roman"/>
          <w:sz w:val="24"/>
          <w:szCs w:val="24"/>
        </w:rPr>
        <w:t xml:space="preserve">d ukupnih planiranih rashoda financiranih </w:t>
      </w:r>
      <w:r w:rsidR="000060DD" w:rsidRPr="007B38B2">
        <w:rPr>
          <w:rFonts w:ascii="Times New Roman" w:hAnsi="Times New Roman" w:cs="Times New Roman"/>
          <w:sz w:val="24"/>
          <w:szCs w:val="24"/>
        </w:rPr>
        <w:t>s</w:t>
      </w:r>
      <w:r w:rsidR="00BB70BF" w:rsidRPr="007B38B2">
        <w:rPr>
          <w:rFonts w:ascii="Times New Roman" w:hAnsi="Times New Roman" w:cs="Times New Roman"/>
          <w:sz w:val="24"/>
          <w:szCs w:val="24"/>
        </w:rPr>
        <w:t xml:space="preserve"> izvora 11 za 202</w:t>
      </w:r>
      <w:r w:rsidRPr="00B61107">
        <w:rPr>
          <w:rFonts w:ascii="Times New Roman" w:hAnsi="Times New Roman" w:cs="Times New Roman"/>
          <w:sz w:val="24"/>
          <w:szCs w:val="24"/>
        </w:rPr>
        <w:t>6</w:t>
      </w:r>
      <w:r w:rsidR="00BB70BF" w:rsidRPr="007B38B2">
        <w:rPr>
          <w:rFonts w:ascii="Times New Roman" w:hAnsi="Times New Roman" w:cs="Times New Roman"/>
          <w:sz w:val="24"/>
          <w:szCs w:val="24"/>
        </w:rPr>
        <w:t xml:space="preserve">. godinu, </w:t>
      </w:r>
      <w:r w:rsidR="0025361E" w:rsidRPr="007B38B2">
        <w:rPr>
          <w:rFonts w:ascii="Times New Roman" w:hAnsi="Times New Roman" w:cs="Times New Roman"/>
          <w:sz w:val="24"/>
          <w:szCs w:val="24"/>
        </w:rPr>
        <w:t>9</w:t>
      </w:r>
      <w:r w:rsidRPr="00B61107">
        <w:rPr>
          <w:rFonts w:ascii="Times New Roman" w:hAnsi="Times New Roman" w:cs="Times New Roman"/>
          <w:sz w:val="24"/>
          <w:szCs w:val="24"/>
        </w:rPr>
        <w:t>5</w:t>
      </w:r>
      <w:r w:rsidR="00BB70BF" w:rsidRPr="007B38B2">
        <w:rPr>
          <w:rFonts w:ascii="Times New Roman" w:hAnsi="Times New Roman" w:cs="Times New Roman"/>
          <w:sz w:val="24"/>
          <w:szCs w:val="24"/>
        </w:rPr>
        <w:t xml:space="preserve">% odnosi se na rashode za zaposlene (skupina 31), </w:t>
      </w:r>
      <w:r w:rsidRPr="00B61107">
        <w:rPr>
          <w:rFonts w:ascii="Times New Roman" w:hAnsi="Times New Roman" w:cs="Times New Roman"/>
          <w:sz w:val="24"/>
          <w:szCs w:val="24"/>
        </w:rPr>
        <w:t>4,7</w:t>
      </w:r>
      <w:r w:rsidR="00BB70BF" w:rsidRPr="007B38B2">
        <w:rPr>
          <w:rFonts w:ascii="Times New Roman" w:hAnsi="Times New Roman" w:cs="Times New Roman"/>
          <w:sz w:val="24"/>
          <w:szCs w:val="24"/>
        </w:rPr>
        <w:t xml:space="preserve">% na materijalne rashode (skupina 32) </w:t>
      </w:r>
      <w:r w:rsidR="006C74DD" w:rsidRPr="007B38B2">
        <w:rPr>
          <w:rFonts w:ascii="Times New Roman" w:hAnsi="Times New Roman" w:cs="Times New Roman"/>
          <w:sz w:val="24"/>
          <w:szCs w:val="24"/>
        </w:rPr>
        <w:t xml:space="preserve">te </w:t>
      </w:r>
      <w:r w:rsidR="00BB70BF" w:rsidRPr="007B38B2">
        <w:rPr>
          <w:rFonts w:ascii="Times New Roman" w:hAnsi="Times New Roman" w:cs="Times New Roman"/>
          <w:sz w:val="24"/>
          <w:szCs w:val="24"/>
        </w:rPr>
        <w:t>0,</w:t>
      </w:r>
      <w:r w:rsidRPr="00B61107">
        <w:rPr>
          <w:rFonts w:ascii="Times New Roman" w:hAnsi="Times New Roman" w:cs="Times New Roman"/>
          <w:sz w:val="24"/>
          <w:szCs w:val="24"/>
        </w:rPr>
        <w:t>3</w:t>
      </w:r>
      <w:r w:rsidR="00BB70BF" w:rsidRPr="007B38B2">
        <w:rPr>
          <w:rFonts w:ascii="Times New Roman" w:hAnsi="Times New Roman" w:cs="Times New Roman"/>
          <w:sz w:val="24"/>
          <w:szCs w:val="24"/>
        </w:rPr>
        <w:t>% na financijske rashode</w:t>
      </w:r>
      <w:r w:rsidR="00EB6311" w:rsidRPr="007B38B2">
        <w:rPr>
          <w:rFonts w:ascii="Times New Roman" w:hAnsi="Times New Roman" w:cs="Times New Roman"/>
          <w:sz w:val="24"/>
          <w:szCs w:val="24"/>
        </w:rPr>
        <w:t xml:space="preserve"> i </w:t>
      </w:r>
      <w:r w:rsidR="00BB70BF" w:rsidRPr="007B38B2">
        <w:rPr>
          <w:rFonts w:ascii="Times New Roman" w:hAnsi="Times New Roman" w:cs="Times New Roman"/>
          <w:sz w:val="24"/>
          <w:szCs w:val="24"/>
        </w:rPr>
        <w:t>na rashode za nabavu nefinancijske imovine (skupin</w:t>
      </w:r>
      <w:r w:rsidR="00EA20A0" w:rsidRPr="007B38B2">
        <w:rPr>
          <w:rFonts w:ascii="Times New Roman" w:hAnsi="Times New Roman" w:cs="Times New Roman"/>
          <w:sz w:val="24"/>
          <w:szCs w:val="24"/>
        </w:rPr>
        <w:t>a</w:t>
      </w:r>
      <w:r w:rsidR="00BB70BF" w:rsidRPr="007B38B2">
        <w:rPr>
          <w:rFonts w:ascii="Times New Roman" w:hAnsi="Times New Roman" w:cs="Times New Roman"/>
          <w:sz w:val="24"/>
          <w:szCs w:val="24"/>
        </w:rPr>
        <w:t xml:space="preserve"> 34 i 42). </w:t>
      </w:r>
    </w:p>
    <w:p w14:paraId="17E9416B" w14:textId="5870A0CF" w:rsidR="007072AC" w:rsidRPr="007B38B2" w:rsidRDefault="007072AC" w:rsidP="00FF2625">
      <w:p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Razlog </w:t>
      </w:r>
      <w:r w:rsidR="0025361E" w:rsidRPr="007B38B2">
        <w:rPr>
          <w:rFonts w:ascii="Times New Roman" w:hAnsi="Times New Roman" w:cs="Times New Roman"/>
          <w:sz w:val="24"/>
          <w:szCs w:val="24"/>
        </w:rPr>
        <w:t>izuzetno visok</w:t>
      </w:r>
      <w:r w:rsidRPr="007B38B2">
        <w:rPr>
          <w:rFonts w:ascii="Times New Roman" w:hAnsi="Times New Roman" w:cs="Times New Roman"/>
          <w:sz w:val="24"/>
          <w:szCs w:val="24"/>
        </w:rPr>
        <w:t>om</w:t>
      </w:r>
      <w:r w:rsidR="0025361E" w:rsidRPr="007B38B2">
        <w:rPr>
          <w:rFonts w:ascii="Times New Roman" w:hAnsi="Times New Roman" w:cs="Times New Roman"/>
          <w:sz w:val="24"/>
          <w:szCs w:val="24"/>
        </w:rPr>
        <w:t xml:space="preserve"> ud</w:t>
      </w:r>
      <w:r w:rsidRPr="007B38B2">
        <w:rPr>
          <w:rFonts w:ascii="Times New Roman" w:hAnsi="Times New Roman" w:cs="Times New Roman"/>
          <w:sz w:val="24"/>
          <w:szCs w:val="24"/>
        </w:rPr>
        <w:t>jelu</w:t>
      </w:r>
      <w:r w:rsidR="0025361E" w:rsidRPr="007B38B2">
        <w:rPr>
          <w:rFonts w:ascii="Times New Roman" w:hAnsi="Times New Roman" w:cs="Times New Roman"/>
          <w:sz w:val="24"/>
          <w:szCs w:val="24"/>
        </w:rPr>
        <w:t xml:space="preserve"> rashoda za zaposlene u izvoru financiranja je </w:t>
      </w:r>
      <w:r w:rsidRPr="007B38B2">
        <w:rPr>
          <w:rFonts w:ascii="Times New Roman" w:hAnsi="Times New Roman" w:cs="Times New Roman"/>
          <w:sz w:val="24"/>
          <w:szCs w:val="24"/>
        </w:rPr>
        <w:t>ograničenj</w:t>
      </w:r>
      <w:r w:rsidR="004D49AC">
        <w:rPr>
          <w:rFonts w:ascii="Times New Roman" w:hAnsi="Times New Roman" w:cs="Times New Roman"/>
          <w:sz w:val="24"/>
          <w:szCs w:val="24"/>
        </w:rPr>
        <w:t>e</w:t>
      </w:r>
      <w:r w:rsidRPr="007B38B2">
        <w:rPr>
          <w:rFonts w:ascii="Times New Roman" w:hAnsi="Times New Roman" w:cs="Times New Roman"/>
          <w:sz w:val="24"/>
          <w:szCs w:val="24"/>
        </w:rPr>
        <w:t xml:space="preserve">  </w:t>
      </w:r>
      <w:r w:rsidR="00BD277F" w:rsidRPr="007B38B2">
        <w:rPr>
          <w:rFonts w:ascii="Times New Roman" w:hAnsi="Times New Roman" w:cs="Times New Roman"/>
          <w:sz w:val="24"/>
          <w:szCs w:val="24"/>
        </w:rPr>
        <w:t>sredstava dodijeljenih u iznosima limita od nadležnog razdjela</w:t>
      </w:r>
      <w:r w:rsidRPr="007B38B2">
        <w:rPr>
          <w:rFonts w:ascii="Times New Roman" w:hAnsi="Times New Roman" w:cs="Times New Roman"/>
          <w:sz w:val="24"/>
          <w:szCs w:val="24"/>
        </w:rPr>
        <w:t>. Zbog intelektualnim radom intenzivne djelatnosti Zavoda</w:t>
      </w:r>
      <w:r w:rsidR="004D49AC">
        <w:rPr>
          <w:rFonts w:ascii="Times New Roman" w:hAnsi="Times New Roman" w:cs="Times New Roman"/>
          <w:sz w:val="24"/>
          <w:szCs w:val="24"/>
        </w:rPr>
        <w:t xml:space="preserve"> i</w:t>
      </w:r>
      <w:r w:rsidR="00BD277F" w:rsidRPr="007B38B2">
        <w:rPr>
          <w:rFonts w:ascii="Times New Roman" w:hAnsi="Times New Roman" w:cs="Times New Roman"/>
          <w:sz w:val="24"/>
          <w:szCs w:val="24"/>
        </w:rPr>
        <w:t xml:space="preserve"> </w:t>
      </w:r>
      <w:r w:rsidR="004D49AC" w:rsidRPr="007B38B2">
        <w:rPr>
          <w:rFonts w:ascii="Times New Roman" w:hAnsi="Times New Roman" w:cs="Times New Roman"/>
          <w:sz w:val="24"/>
          <w:szCs w:val="24"/>
        </w:rPr>
        <w:t>sadašnj</w:t>
      </w:r>
      <w:r w:rsidR="004D49AC">
        <w:rPr>
          <w:rFonts w:ascii="Times New Roman" w:hAnsi="Times New Roman" w:cs="Times New Roman"/>
          <w:sz w:val="24"/>
          <w:szCs w:val="24"/>
        </w:rPr>
        <w:t xml:space="preserve">e </w:t>
      </w:r>
      <w:r w:rsidR="004D49AC" w:rsidRPr="007B38B2">
        <w:rPr>
          <w:rFonts w:ascii="Times New Roman" w:hAnsi="Times New Roman" w:cs="Times New Roman"/>
          <w:sz w:val="24"/>
          <w:szCs w:val="24"/>
        </w:rPr>
        <w:t>nezadovoljavajuć</w:t>
      </w:r>
      <w:r w:rsidR="004D49AC">
        <w:rPr>
          <w:rFonts w:ascii="Times New Roman" w:hAnsi="Times New Roman" w:cs="Times New Roman"/>
          <w:sz w:val="24"/>
          <w:szCs w:val="24"/>
        </w:rPr>
        <w:t>e</w:t>
      </w:r>
      <w:r w:rsidR="004D49AC" w:rsidRPr="007B38B2">
        <w:rPr>
          <w:rFonts w:ascii="Times New Roman" w:hAnsi="Times New Roman" w:cs="Times New Roman"/>
          <w:sz w:val="24"/>
          <w:szCs w:val="24"/>
        </w:rPr>
        <w:t xml:space="preserve"> razin</w:t>
      </w:r>
      <w:r w:rsidR="004D49AC">
        <w:rPr>
          <w:rFonts w:ascii="Times New Roman" w:hAnsi="Times New Roman" w:cs="Times New Roman"/>
          <w:sz w:val="24"/>
          <w:szCs w:val="24"/>
        </w:rPr>
        <w:t>e</w:t>
      </w:r>
      <w:r w:rsidR="004D49AC" w:rsidRPr="007B38B2">
        <w:rPr>
          <w:rFonts w:ascii="Times New Roman" w:hAnsi="Times New Roman" w:cs="Times New Roman"/>
          <w:sz w:val="24"/>
          <w:szCs w:val="24"/>
        </w:rPr>
        <w:t xml:space="preserve"> </w:t>
      </w:r>
      <w:r w:rsidR="004D49AC">
        <w:rPr>
          <w:rFonts w:ascii="Times New Roman" w:hAnsi="Times New Roman" w:cs="Times New Roman"/>
          <w:sz w:val="24"/>
          <w:szCs w:val="24"/>
        </w:rPr>
        <w:t>popunjenosti propisanih radnih mjesta</w:t>
      </w:r>
      <w:r w:rsidR="004D49AC" w:rsidRPr="007B38B2">
        <w:rPr>
          <w:rFonts w:ascii="Times New Roman" w:hAnsi="Times New Roman" w:cs="Times New Roman"/>
          <w:sz w:val="24"/>
          <w:szCs w:val="24"/>
        </w:rPr>
        <w:t xml:space="preserve"> </w:t>
      </w:r>
      <w:r w:rsidR="00114C2B" w:rsidRPr="007B38B2">
        <w:rPr>
          <w:rFonts w:ascii="Times New Roman" w:hAnsi="Times New Roman" w:cs="Times New Roman"/>
          <w:sz w:val="24"/>
          <w:szCs w:val="24"/>
        </w:rPr>
        <w:t xml:space="preserve">od </w:t>
      </w:r>
      <w:r w:rsidR="00114C2B" w:rsidRPr="009C7E23">
        <w:rPr>
          <w:rFonts w:ascii="Times New Roman" w:hAnsi="Times New Roman" w:cs="Times New Roman"/>
          <w:sz w:val="24"/>
          <w:szCs w:val="24"/>
        </w:rPr>
        <w:t>66%</w:t>
      </w:r>
      <w:r w:rsidR="00114C2B" w:rsidRPr="007B38B2">
        <w:rPr>
          <w:rFonts w:ascii="Times New Roman" w:hAnsi="Times New Roman" w:cs="Times New Roman"/>
          <w:sz w:val="24"/>
          <w:szCs w:val="24"/>
        </w:rPr>
        <w:t xml:space="preserve"> (prema </w:t>
      </w:r>
      <w:r w:rsidR="00B477DD" w:rsidRPr="007B38B2">
        <w:rPr>
          <w:rFonts w:ascii="Times New Roman" w:hAnsi="Times New Roman" w:cs="Times New Roman"/>
          <w:sz w:val="24"/>
          <w:szCs w:val="24"/>
        </w:rPr>
        <w:t>propisima o unutarnjem ustrojstvu</w:t>
      </w:r>
      <w:r w:rsidR="00114C2B" w:rsidRPr="007B38B2">
        <w:rPr>
          <w:rFonts w:ascii="Times New Roman" w:hAnsi="Times New Roman" w:cs="Times New Roman"/>
          <w:sz w:val="24"/>
          <w:szCs w:val="24"/>
        </w:rPr>
        <w:t xml:space="preserve"> DZIV-a) te</w:t>
      </w:r>
      <w:r w:rsidR="004D49AC">
        <w:rPr>
          <w:rFonts w:ascii="Times New Roman" w:hAnsi="Times New Roman" w:cs="Times New Roman"/>
          <w:sz w:val="24"/>
          <w:szCs w:val="24"/>
        </w:rPr>
        <w:t xml:space="preserve"> posljedične</w:t>
      </w:r>
      <w:r w:rsidR="00114C2B" w:rsidRPr="007B38B2">
        <w:rPr>
          <w:rFonts w:ascii="Times New Roman" w:hAnsi="Times New Roman" w:cs="Times New Roman"/>
          <w:sz w:val="24"/>
          <w:szCs w:val="24"/>
        </w:rPr>
        <w:t xml:space="preserve"> nužnosti</w:t>
      </w:r>
      <w:r w:rsidR="004D49AC">
        <w:rPr>
          <w:rFonts w:ascii="Times New Roman" w:hAnsi="Times New Roman" w:cs="Times New Roman"/>
          <w:sz w:val="24"/>
          <w:szCs w:val="24"/>
        </w:rPr>
        <w:t xml:space="preserve"> dodatnog</w:t>
      </w:r>
      <w:r w:rsidR="00114C2B" w:rsidRPr="007B38B2">
        <w:rPr>
          <w:rFonts w:ascii="Times New Roman" w:hAnsi="Times New Roman" w:cs="Times New Roman"/>
          <w:sz w:val="24"/>
          <w:szCs w:val="24"/>
        </w:rPr>
        <w:t xml:space="preserve"> novo</w:t>
      </w:r>
      <w:r w:rsidR="004D49AC">
        <w:rPr>
          <w:rFonts w:ascii="Times New Roman" w:hAnsi="Times New Roman" w:cs="Times New Roman"/>
          <w:sz w:val="24"/>
          <w:szCs w:val="24"/>
        </w:rPr>
        <w:t xml:space="preserve">g </w:t>
      </w:r>
      <w:r w:rsidR="00114C2B" w:rsidRPr="007B38B2">
        <w:rPr>
          <w:rFonts w:ascii="Times New Roman" w:hAnsi="Times New Roman" w:cs="Times New Roman"/>
          <w:sz w:val="24"/>
          <w:szCs w:val="24"/>
        </w:rPr>
        <w:t xml:space="preserve">zapošljavanja, </w:t>
      </w:r>
      <w:r w:rsidR="007B38B2" w:rsidRPr="00B61107">
        <w:rPr>
          <w:rFonts w:ascii="Times New Roman" w:hAnsi="Times New Roman" w:cs="Times New Roman"/>
          <w:sz w:val="24"/>
          <w:szCs w:val="24"/>
        </w:rPr>
        <w:t>u 2026.</w:t>
      </w:r>
      <w:r w:rsidR="004D49AC">
        <w:rPr>
          <w:rFonts w:ascii="Times New Roman" w:hAnsi="Times New Roman" w:cs="Times New Roman"/>
          <w:sz w:val="24"/>
          <w:szCs w:val="24"/>
        </w:rPr>
        <w:t xml:space="preserve"> godini</w:t>
      </w:r>
      <w:r w:rsidR="007B38B2" w:rsidRPr="00B61107">
        <w:rPr>
          <w:rFonts w:ascii="Times New Roman" w:hAnsi="Times New Roman" w:cs="Times New Roman"/>
          <w:sz w:val="24"/>
          <w:szCs w:val="24"/>
        </w:rPr>
        <w:t xml:space="preserve"> je planirano </w:t>
      </w:r>
      <w:r w:rsidR="00114C2B" w:rsidRPr="007B38B2">
        <w:rPr>
          <w:rFonts w:ascii="Times New Roman" w:hAnsi="Times New Roman" w:cs="Times New Roman"/>
          <w:sz w:val="24"/>
          <w:szCs w:val="24"/>
        </w:rPr>
        <w:t xml:space="preserve">zaposliti </w:t>
      </w:r>
      <w:r w:rsidR="004D49AC">
        <w:rPr>
          <w:rFonts w:ascii="Times New Roman" w:hAnsi="Times New Roman" w:cs="Times New Roman"/>
          <w:sz w:val="24"/>
          <w:szCs w:val="24"/>
        </w:rPr>
        <w:t>dodatna tri (</w:t>
      </w:r>
      <w:r w:rsidR="007B38B2" w:rsidRPr="00B61107">
        <w:rPr>
          <w:rFonts w:ascii="Times New Roman" w:hAnsi="Times New Roman" w:cs="Times New Roman"/>
          <w:sz w:val="24"/>
          <w:szCs w:val="24"/>
        </w:rPr>
        <w:t>3</w:t>
      </w:r>
      <w:r w:rsidR="004D49AC">
        <w:rPr>
          <w:rFonts w:ascii="Times New Roman" w:hAnsi="Times New Roman" w:cs="Times New Roman"/>
          <w:sz w:val="24"/>
          <w:szCs w:val="24"/>
        </w:rPr>
        <w:t>)</w:t>
      </w:r>
      <w:r w:rsidR="00114C2B" w:rsidRPr="007B38B2">
        <w:rPr>
          <w:rFonts w:ascii="Times New Roman" w:hAnsi="Times New Roman" w:cs="Times New Roman"/>
          <w:sz w:val="24"/>
          <w:szCs w:val="24"/>
        </w:rPr>
        <w:t xml:space="preserve"> </w:t>
      </w:r>
      <w:r w:rsidR="004D49AC">
        <w:rPr>
          <w:rFonts w:ascii="Times New Roman" w:hAnsi="Times New Roman" w:cs="Times New Roman"/>
          <w:sz w:val="24"/>
          <w:szCs w:val="24"/>
        </w:rPr>
        <w:t>službenika</w:t>
      </w:r>
      <w:r w:rsidR="004D49AC" w:rsidRPr="007B38B2">
        <w:rPr>
          <w:rFonts w:ascii="Times New Roman" w:hAnsi="Times New Roman" w:cs="Times New Roman"/>
          <w:sz w:val="24"/>
          <w:szCs w:val="24"/>
        </w:rPr>
        <w:t xml:space="preserve"> </w:t>
      </w:r>
      <w:r w:rsidR="009D5C95" w:rsidRPr="007B38B2">
        <w:rPr>
          <w:rFonts w:ascii="Times New Roman" w:hAnsi="Times New Roman" w:cs="Times New Roman"/>
          <w:sz w:val="24"/>
          <w:szCs w:val="24"/>
        </w:rPr>
        <w:t xml:space="preserve">(i </w:t>
      </w:r>
      <w:r w:rsidR="004D49AC">
        <w:rPr>
          <w:rFonts w:ascii="Times New Roman" w:hAnsi="Times New Roman" w:cs="Times New Roman"/>
          <w:sz w:val="24"/>
          <w:szCs w:val="24"/>
        </w:rPr>
        <w:t xml:space="preserve">dosegnuti </w:t>
      </w:r>
      <w:r w:rsidR="009D5C95" w:rsidRPr="007B38B2">
        <w:rPr>
          <w:rFonts w:ascii="Times New Roman" w:hAnsi="Times New Roman" w:cs="Times New Roman"/>
          <w:sz w:val="24"/>
          <w:szCs w:val="24"/>
        </w:rPr>
        <w:t xml:space="preserve">broj zaposlenika od </w:t>
      </w:r>
      <w:r w:rsidR="007B38B2" w:rsidRPr="00B61107">
        <w:rPr>
          <w:rFonts w:ascii="Times New Roman" w:hAnsi="Times New Roman" w:cs="Times New Roman"/>
          <w:sz w:val="24"/>
          <w:szCs w:val="24"/>
        </w:rPr>
        <w:t>91</w:t>
      </w:r>
      <w:r w:rsidR="004D49AC">
        <w:rPr>
          <w:rFonts w:ascii="Times New Roman" w:hAnsi="Times New Roman" w:cs="Times New Roman"/>
          <w:sz w:val="24"/>
          <w:szCs w:val="24"/>
        </w:rPr>
        <w:t>, odnosno 69% popunjenosti radnih mjesta</w:t>
      </w:r>
      <w:r w:rsidR="009D5C95" w:rsidRPr="007B38B2">
        <w:rPr>
          <w:rFonts w:ascii="Times New Roman" w:hAnsi="Times New Roman" w:cs="Times New Roman"/>
          <w:sz w:val="24"/>
          <w:szCs w:val="24"/>
        </w:rPr>
        <w:t xml:space="preserve">) </w:t>
      </w:r>
      <w:r w:rsidR="00114C2B" w:rsidRPr="007B38B2">
        <w:rPr>
          <w:rFonts w:ascii="Times New Roman" w:hAnsi="Times New Roman" w:cs="Times New Roman"/>
          <w:sz w:val="24"/>
          <w:szCs w:val="24"/>
        </w:rPr>
        <w:t xml:space="preserve">te još </w:t>
      </w:r>
      <w:r w:rsidR="007B38B2" w:rsidRPr="00B61107">
        <w:rPr>
          <w:rFonts w:ascii="Times New Roman" w:hAnsi="Times New Roman" w:cs="Times New Roman"/>
          <w:sz w:val="24"/>
          <w:szCs w:val="24"/>
        </w:rPr>
        <w:t>po jedn</w:t>
      </w:r>
      <w:r w:rsidR="004D49AC">
        <w:rPr>
          <w:rFonts w:ascii="Times New Roman" w:hAnsi="Times New Roman" w:cs="Times New Roman"/>
          <w:sz w:val="24"/>
          <w:szCs w:val="24"/>
        </w:rPr>
        <w:t>og službenika</w:t>
      </w:r>
      <w:r w:rsidR="007B38B2" w:rsidRPr="00B61107">
        <w:rPr>
          <w:rFonts w:ascii="Times New Roman" w:hAnsi="Times New Roman" w:cs="Times New Roman"/>
          <w:sz w:val="24"/>
          <w:szCs w:val="24"/>
        </w:rPr>
        <w:t xml:space="preserve"> zaposliti u</w:t>
      </w:r>
      <w:r w:rsidR="00114C2B" w:rsidRPr="007B38B2">
        <w:rPr>
          <w:rFonts w:ascii="Times New Roman" w:hAnsi="Times New Roman" w:cs="Times New Roman"/>
          <w:sz w:val="24"/>
          <w:szCs w:val="24"/>
        </w:rPr>
        <w:t xml:space="preserve"> 202</w:t>
      </w:r>
      <w:r w:rsidR="007B38B2" w:rsidRPr="00B61107">
        <w:rPr>
          <w:rFonts w:ascii="Times New Roman" w:hAnsi="Times New Roman" w:cs="Times New Roman"/>
          <w:sz w:val="24"/>
          <w:szCs w:val="24"/>
        </w:rPr>
        <w:t>7</w:t>
      </w:r>
      <w:r w:rsidR="00114C2B" w:rsidRPr="007B38B2">
        <w:rPr>
          <w:rFonts w:ascii="Times New Roman" w:hAnsi="Times New Roman" w:cs="Times New Roman"/>
          <w:sz w:val="24"/>
          <w:szCs w:val="24"/>
        </w:rPr>
        <w:t>.</w:t>
      </w:r>
      <w:r w:rsidR="004D49AC">
        <w:rPr>
          <w:rFonts w:ascii="Times New Roman" w:hAnsi="Times New Roman" w:cs="Times New Roman"/>
          <w:sz w:val="24"/>
          <w:szCs w:val="24"/>
        </w:rPr>
        <w:t xml:space="preserve"> </w:t>
      </w:r>
      <w:r w:rsidR="00114C2B" w:rsidRPr="007B38B2">
        <w:rPr>
          <w:rFonts w:ascii="Times New Roman" w:hAnsi="Times New Roman" w:cs="Times New Roman"/>
          <w:sz w:val="24"/>
          <w:szCs w:val="24"/>
        </w:rPr>
        <w:t>godini i u 202</w:t>
      </w:r>
      <w:r w:rsidR="007B38B2" w:rsidRPr="00B61107">
        <w:rPr>
          <w:rFonts w:ascii="Times New Roman" w:hAnsi="Times New Roman" w:cs="Times New Roman"/>
          <w:sz w:val="24"/>
          <w:szCs w:val="24"/>
        </w:rPr>
        <w:t>8</w:t>
      </w:r>
      <w:r w:rsidR="00114C2B" w:rsidRPr="007B38B2">
        <w:rPr>
          <w:rFonts w:ascii="Times New Roman" w:hAnsi="Times New Roman" w:cs="Times New Roman"/>
          <w:sz w:val="24"/>
          <w:szCs w:val="24"/>
        </w:rPr>
        <w:t>.</w:t>
      </w:r>
      <w:r w:rsidR="004D49AC">
        <w:rPr>
          <w:rFonts w:ascii="Times New Roman" w:hAnsi="Times New Roman" w:cs="Times New Roman"/>
          <w:sz w:val="24"/>
          <w:szCs w:val="24"/>
        </w:rPr>
        <w:t xml:space="preserve"> </w:t>
      </w:r>
      <w:r w:rsidR="00114C2B" w:rsidRPr="007B38B2">
        <w:rPr>
          <w:rFonts w:ascii="Times New Roman" w:hAnsi="Times New Roman" w:cs="Times New Roman"/>
          <w:sz w:val="24"/>
          <w:szCs w:val="24"/>
        </w:rPr>
        <w:t>godini</w:t>
      </w:r>
      <w:r w:rsidR="004D49AC">
        <w:rPr>
          <w:rFonts w:ascii="Times New Roman" w:hAnsi="Times New Roman" w:cs="Times New Roman"/>
          <w:sz w:val="24"/>
          <w:szCs w:val="24"/>
        </w:rPr>
        <w:t xml:space="preserve"> (tj. dosegnuti 70% popunjenosti radnih mjesta)</w:t>
      </w:r>
      <w:r w:rsidR="00114C2B" w:rsidRPr="007B38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EE5012" w14:textId="3235A146" w:rsidR="00BB70BF" w:rsidRPr="009C7E23" w:rsidRDefault="00BB70BF" w:rsidP="00FF2625">
      <w:pPr>
        <w:jc w:val="both"/>
        <w:rPr>
          <w:rFonts w:ascii="Times New Roman" w:hAnsi="Times New Roman" w:cs="Times New Roman"/>
          <w:sz w:val="24"/>
          <w:szCs w:val="24"/>
        </w:rPr>
      </w:pPr>
      <w:r w:rsidRPr="009C7E23">
        <w:rPr>
          <w:rFonts w:ascii="Times New Roman" w:hAnsi="Times New Roman" w:cs="Times New Roman"/>
          <w:sz w:val="24"/>
          <w:szCs w:val="24"/>
        </w:rPr>
        <w:t>Rashod</w:t>
      </w:r>
      <w:r w:rsidR="00B477DD" w:rsidRPr="009C7E23">
        <w:rPr>
          <w:rFonts w:ascii="Times New Roman" w:hAnsi="Times New Roman" w:cs="Times New Roman"/>
          <w:sz w:val="24"/>
          <w:szCs w:val="24"/>
        </w:rPr>
        <w:t>i</w:t>
      </w:r>
      <w:r w:rsidRPr="009C7E23">
        <w:rPr>
          <w:rFonts w:ascii="Times New Roman" w:hAnsi="Times New Roman" w:cs="Times New Roman"/>
          <w:sz w:val="24"/>
          <w:szCs w:val="24"/>
        </w:rPr>
        <w:t xml:space="preserve"> u skupini 42 (rashodi z</w:t>
      </w:r>
      <w:r w:rsidR="00EA20A0" w:rsidRPr="009C7E23">
        <w:rPr>
          <w:rFonts w:ascii="Times New Roman" w:hAnsi="Times New Roman" w:cs="Times New Roman"/>
          <w:sz w:val="24"/>
          <w:szCs w:val="24"/>
        </w:rPr>
        <w:t>a nabavu nefinancijske imovine)</w:t>
      </w:r>
      <w:r w:rsidRPr="009C7E23">
        <w:rPr>
          <w:rFonts w:ascii="Times New Roman" w:hAnsi="Times New Roman" w:cs="Times New Roman"/>
          <w:sz w:val="24"/>
          <w:szCs w:val="24"/>
        </w:rPr>
        <w:t xml:space="preserve"> </w:t>
      </w:r>
      <w:r w:rsidR="00AF7BE3" w:rsidRPr="009C7E23">
        <w:rPr>
          <w:rFonts w:ascii="Times New Roman" w:hAnsi="Times New Roman" w:cs="Times New Roman"/>
          <w:sz w:val="24"/>
          <w:szCs w:val="24"/>
        </w:rPr>
        <w:t>s izvora 11 se planira</w:t>
      </w:r>
      <w:r w:rsidR="00B477DD" w:rsidRPr="009C7E23">
        <w:rPr>
          <w:rFonts w:ascii="Times New Roman" w:hAnsi="Times New Roman" w:cs="Times New Roman"/>
          <w:sz w:val="24"/>
          <w:szCs w:val="24"/>
        </w:rPr>
        <w:t>ju</w:t>
      </w:r>
      <w:r w:rsidR="00AF7BE3" w:rsidRPr="009C7E23">
        <w:rPr>
          <w:rFonts w:ascii="Times New Roman" w:hAnsi="Times New Roman" w:cs="Times New Roman"/>
          <w:sz w:val="24"/>
          <w:szCs w:val="24"/>
        </w:rPr>
        <w:t xml:space="preserve"> za neophodnu zamjenu dotrajale opreme za grijanje, ventilaciju i hlađenje, </w:t>
      </w:r>
      <w:r w:rsidR="004D49AC">
        <w:rPr>
          <w:rFonts w:ascii="Times New Roman" w:hAnsi="Times New Roman" w:cs="Times New Roman"/>
          <w:sz w:val="24"/>
          <w:szCs w:val="24"/>
        </w:rPr>
        <w:t>a</w:t>
      </w:r>
      <w:r w:rsidR="004D49AC" w:rsidRPr="00B61107">
        <w:rPr>
          <w:rFonts w:ascii="Times New Roman" w:hAnsi="Times New Roman" w:cs="Times New Roman"/>
          <w:sz w:val="24"/>
          <w:szCs w:val="24"/>
        </w:rPr>
        <w:t xml:space="preserve"> </w:t>
      </w:r>
      <w:r w:rsidR="009C7E23" w:rsidRPr="00B61107">
        <w:rPr>
          <w:rFonts w:ascii="Times New Roman" w:hAnsi="Times New Roman" w:cs="Times New Roman"/>
          <w:sz w:val="24"/>
          <w:szCs w:val="24"/>
        </w:rPr>
        <w:t>u 2027.</w:t>
      </w:r>
      <w:r w:rsidR="00AF7BE3" w:rsidRPr="009C7E23">
        <w:rPr>
          <w:rFonts w:ascii="Times New Roman" w:hAnsi="Times New Roman" w:cs="Times New Roman"/>
          <w:sz w:val="24"/>
          <w:szCs w:val="24"/>
        </w:rPr>
        <w:t xml:space="preserve"> </w:t>
      </w:r>
      <w:r w:rsidRPr="009C7E23">
        <w:rPr>
          <w:rFonts w:ascii="Times New Roman" w:hAnsi="Times New Roman" w:cs="Times New Roman"/>
          <w:sz w:val="24"/>
          <w:szCs w:val="24"/>
        </w:rPr>
        <w:t xml:space="preserve">u </w:t>
      </w:r>
      <w:r w:rsidR="00AF7BE3" w:rsidRPr="009C7E23">
        <w:rPr>
          <w:rFonts w:ascii="Times New Roman" w:hAnsi="Times New Roman" w:cs="Times New Roman"/>
          <w:sz w:val="24"/>
          <w:szCs w:val="24"/>
        </w:rPr>
        <w:t xml:space="preserve">manjem </w:t>
      </w:r>
      <w:r w:rsidRPr="009C7E23">
        <w:rPr>
          <w:rFonts w:ascii="Times New Roman" w:hAnsi="Times New Roman" w:cs="Times New Roman"/>
          <w:sz w:val="24"/>
          <w:szCs w:val="24"/>
        </w:rPr>
        <w:t xml:space="preserve">dijelu </w:t>
      </w:r>
      <w:r w:rsidR="004D49AC">
        <w:rPr>
          <w:rFonts w:ascii="Times New Roman" w:hAnsi="Times New Roman" w:cs="Times New Roman"/>
          <w:sz w:val="24"/>
          <w:szCs w:val="24"/>
        </w:rPr>
        <w:t xml:space="preserve">i </w:t>
      </w:r>
      <w:r w:rsidR="00AF7BE3" w:rsidRPr="009C7E23">
        <w:rPr>
          <w:rFonts w:ascii="Times New Roman" w:hAnsi="Times New Roman" w:cs="Times New Roman"/>
          <w:sz w:val="24"/>
          <w:szCs w:val="24"/>
        </w:rPr>
        <w:t xml:space="preserve">za </w:t>
      </w:r>
      <w:r w:rsidRPr="009C7E23">
        <w:rPr>
          <w:rFonts w:ascii="Times New Roman" w:hAnsi="Times New Roman" w:cs="Times New Roman"/>
          <w:sz w:val="24"/>
          <w:szCs w:val="24"/>
        </w:rPr>
        <w:t>nabavu nove informatičke opreme</w:t>
      </w:r>
      <w:r w:rsidR="00AF7BE3" w:rsidRPr="009C7E23">
        <w:rPr>
          <w:rFonts w:ascii="Times New Roman" w:hAnsi="Times New Roman" w:cs="Times New Roman"/>
          <w:sz w:val="24"/>
          <w:szCs w:val="24"/>
        </w:rPr>
        <w:t xml:space="preserve">. </w:t>
      </w:r>
      <w:r w:rsidR="009C7E23" w:rsidRPr="009C7E23">
        <w:rPr>
          <w:rFonts w:ascii="Times New Roman" w:hAnsi="Times New Roman" w:cs="Times New Roman"/>
          <w:sz w:val="24"/>
          <w:szCs w:val="24"/>
        </w:rPr>
        <w:t>Veći</w:t>
      </w:r>
      <w:r w:rsidR="009C7E23" w:rsidRPr="00B61107">
        <w:rPr>
          <w:rFonts w:ascii="Times New Roman" w:hAnsi="Times New Roman" w:cs="Times New Roman"/>
          <w:sz w:val="24"/>
          <w:szCs w:val="24"/>
        </w:rPr>
        <w:t xml:space="preserve">nom se osuvremenjivanje informatičke opreme </w:t>
      </w:r>
      <w:r w:rsidRPr="009C7E23">
        <w:rPr>
          <w:rFonts w:ascii="Times New Roman" w:hAnsi="Times New Roman" w:cs="Times New Roman"/>
          <w:sz w:val="24"/>
          <w:szCs w:val="24"/>
        </w:rPr>
        <w:t xml:space="preserve">planira na izvoru 43-T s obzirom na to da </w:t>
      </w:r>
      <w:r w:rsidR="00AF7BE3" w:rsidRPr="009C7E23">
        <w:rPr>
          <w:rFonts w:ascii="Times New Roman" w:hAnsi="Times New Roman" w:cs="Times New Roman"/>
          <w:sz w:val="24"/>
          <w:szCs w:val="24"/>
        </w:rPr>
        <w:t>je</w:t>
      </w:r>
      <w:r w:rsidR="004D49AC">
        <w:rPr>
          <w:rFonts w:ascii="Times New Roman" w:hAnsi="Times New Roman" w:cs="Times New Roman"/>
          <w:sz w:val="24"/>
          <w:szCs w:val="24"/>
        </w:rPr>
        <w:t xml:space="preserve"> odgovarajuća</w:t>
      </w:r>
      <w:r w:rsidRPr="009C7E23">
        <w:rPr>
          <w:rFonts w:ascii="Times New Roman" w:hAnsi="Times New Roman" w:cs="Times New Roman"/>
          <w:sz w:val="24"/>
          <w:szCs w:val="24"/>
        </w:rPr>
        <w:t xml:space="preserve"> </w:t>
      </w:r>
      <w:r w:rsidR="00805D13" w:rsidRPr="009C7E23">
        <w:rPr>
          <w:rFonts w:ascii="Times New Roman" w:hAnsi="Times New Roman" w:cs="Times New Roman"/>
          <w:sz w:val="24"/>
          <w:szCs w:val="24"/>
        </w:rPr>
        <w:t>informatička opremljenost u</w:t>
      </w:r>
      <w:r w:rsidRPr="009C7E23">
        <w:rPr>
          <w:rFonts w:ascii="Times New Roman" w:hAnsi="Times New Roman" w:cs="Times New Roman"/>
          <w:sz w:val="24"/>
          <w:szCs w:val="24"/>
        </w:rPr>
        <w:t xml:space="preserve"> velikom dijelu </w:t>
      </w:r>
      <w:r w:rsidR="004D49AC">
        <w:rPr>
          <w:rFonts w:ascii="Times New Roman" w:hAnsi="Times New Roman" w:cs="Times New Roman"/>
          <w:sz w:val="24"/>
          <w:szCs w:val="24"/>
        </w:rPr>
        <w:t>nužna za</w:t>
      </w:r>
      <w:r w:rsidR="004D49AC" w:rsidRPr="009C7E23">
        <w:rPr>
          <w:rFonts w:ascii="Times New Roman" w:hAnsi="Times New Roman" w:cs="Times New Roman"/>
          <w:sz w:val="24"/>
          <w:szCs w:val="24"/>
        </w:rPr>
        <w:t xml:space="preserve"> </w:t>
      </w:r>
      <w:r w:rsidR="004D49AC">
        <w:rPr>
          <w:rFonts w:ascii="Times New Roman" w:hAnsi="Times New Roman" w:cs="Times New Roman"/>
          <w:sz w:val="24"/>
          <w:szCs w:val="24"/>
        </w:rPr>
        <w:t xml:space="preserve">osiguravanje </w:t>
      </w:r>
      <w:r w:rsidRPr="009C7E23">
        <w:rPr>
          <w:rFonts w:ascii="Times New Roman" w:hAnsi="Times New Roman" w:cs="Times New Roman"/>
          <w:sz w:val="24"/>
          <w:szCs w:val="24"/>
        </w:rPr>
        <w:t>međupovezano</w:t>
      </w:r>
      <w:r w:rsidR="00805D13" w:rsidRPr="009C7E23">
        <w:rPr>
          <w:rFonts w:ascii="Times New Roman" w:hAnsi="Times New Roman" w:cs="Times New Roman"/>
          <w:sz w:val="24"/>
          <w:szCs w:val="24"/>
        </w:rPr>
        <w:t>sti</w:t>
      </w:r>
      <w:r w:rsidR="001F63EF" w:rsidRPr="009C7E23">
        <w:rPr>
          <w:rFonts w:ascii="Times New Roman" w:hAnsi="Times New Roman" w:cs="Times New Roman"/>
          <w:sz w:val="24"/>
          <w:szCs w:val="24"/>
        </w:rPr>
        <w:t xml:space="preserve"> </w:t>
      </w:r>
      <w:r w:rsidRPr="009C7E23">
        <w:rPr>
          <w:rFonts w:ascii="Times New Roman" w:hAnsi="Times New Roman" w:cs="Times New Roman"/>
          <w:sz w:val="24"/>
          <w:szCs w:val="24"/>
        </w:rPr>
        <w:t>nacionalnog sustava intelektualnog vlasništva s europskim i međunarodnim sustavom</w:t>
      </w:r>
      <w:r w:rsidR="00140E9A">
        <w:rPr>
          <w:rFonts w:ascii="Times New Roman" w:hAnsi="Times New Roman" w:cs="Times New Roman"/>
          <w:sz w:val="24"/>
          <w:szCs w:val="24"/>
        </w:rPr>
        <w:t>, kao</w:t>
      </w:r>
      <w:r w:rsidRPr="009C7E23">
        <w:rPr>
          <w:rFonts w:ascii="Times New Roman" w:hAnsi="Times New Roman" w:cs="Times New Roman"/>
          <w:sz w:val="24"/>
          <w:szCs w:val="24"/>
        </w:rPr>
        <w:t xml:space="preserve"> i </w:t>
      </w:r>
      <w:r w:rsidR="00140E9A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140E9A" w:rsidRPr="009C7E23">
        <w:rPr>
          <w:rFonts w:ascii="Times New Roman" w:hAnsi="Times New Roman" w:cs="Times New Roman"/>
          <w:sz w:val="24"/>
          <w:szCs w:val="24"/>
        </w:rPr>
        <w:t>odgovarajuć</w:t>
      </w:r>
      <w:r w:rsidR="00140E9A">
        <w:rPr>
          <w:rFonts w:ascii="Times New Roman" w:hAnsi="Times New Roman" w:cs="Times New Roman"/>
          <w:sz w:val="24"/>
          <w:szCs w:val="24"/>
        </w:rPr>
        <w:t>ih</w:t>
      </w:r>
      <w:r w:rsidR="00140E9A" w:rsidRPr="009C7E23">
        <w:rPr>
          <w:rFonts w:ascii="Times New Roman" w:hAnsi="Times New Roman" w:cs="Times New Roman"/>
          <w:sz w:val="24"/>
          <w:szCs w:val="24"/>
        </w:rPr>
        <w:t xml:space="preserve"> projek</w:t>
      </w:r>
      <w:r w:rsidR="00140E9A">
        <w:rPr>
          <w:rFonts w:ascii="Times New Roman" w:hAnsi="Times New Roman" w:cs="Times New Roman"/>
          <w:sz w:val="24"/>
          <w:szCs w:val="24"/>
        </w:rPr>
        <w:t>ata</w:t>
      </w:r>
      <w:r w:rsidR="00140E9A" w:rsidRPr="009C7E23">
        <w:rPr>
          <w:rFonts w:ascii="Times New Roman" w:hAnsi="Times New Roman" w:cs="Times New Roman"/>
          <w:sz w:val="24"/>
          <w:szCs w:val="24"/>
        </w:rPr>
        <w:t xml:space="preserve"> </w:t>
      </w:r>
      <w:r w:rsidRPr="009C7E23">
        <w:rPr>
          <w:rFonts w:ascii="Times New Roman" w:hAnsi="Times New Roman" w:cs="Times New Roman"/>
          <w:sz w:val="24"/>
          <w:szCs w:val="24"/>
        </w:rPr>
        <w:t xml:space="preserve">suradnje. </w:t>
      </w:r>
    </w:p>
    <w:p w14:paraId="07BDEDD1" w14:textId="77AA78BE" w:rsidR="005870EE" w:rsidRPr="00B61107" w:rsidRDefault="00140E9A" w:rsidP="00FF2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materijalni rashodi </w:t>
      </w:r>
      <w:r w:rsidR="005870EE" w:rsidRPr="00B61107">
        <w:rPr>
          <w:rFonts w:ascii="Times New Roman" w:hAnsi="Times New Roman" w:cs="Times New Roman"/>
          <w:sz w:val="24"/>
          <w:szCs w:val="24"/>
        </w:rPr>
        <w:t xml:space="preserve">po svim </w:t>
      </w:r>
      <w:r w:rsidR="00B477DD" w:rsidRPr="00BE1753">
        <w:rPr>
          <w:rFonts w:ascii="Times New Roman" w:hAnsi="Times New Roman" w:cs="Times New Roman"/>
          <w:sz w:val="24"/>
          <w:szCs w:val="24"/>
        </w:rPr>
        <w:t xml:space="preserve">izvorima </w:t>
      </w:r>
      <w:r>
        <w:rPr>
          <w:rFonts w:ascii="Times New Roman" w:hAnsi="Times New Roman" w:cs="Times New Roman"/>
          <w:sz w:val="24"/>
          <w:szCs w:val="24"/>
        </w:rPr>
        <w:t>(s</w:t>
      </w:r>
      <w:r w:rsidRPr="00BE1753">
        <w:rPr>
          <w:rFonts w:ascii="Times New Roman" w:hAnsi="Times New Roman" w:cs="Times New Roman"/>
          <w:sz w:val="24"/>
          <w:szCs w:val="24"/>
        </w:rPr>
        <w:t>kupin</w:t>
      </w:r>
      <w:r w:rsidRPr="00B61107">
        <w:rPr>
          <w:rFonts w:ascii="Times New Roman" w:hAnsi="Times New Roman" w:cs="Times New Roman"/>
          <w:sz w:val="24"/>
          <w:szCs w:val="24"/>
        </w:rPr>
        <w:t>a</w:t>
      </w:r>
      <w:r w:rsidRPr="00BE1753">
        <w:rPr>
          <w:rFonts w:ascii="Times New Roman" w:hAnsi="Times New Roman" w:cs="Times New Roman"/>
          <w:sz w:val="24"/>
          <w:szCs w:val="24"/>
        </w:rPr>
        <w:t xml:space="preserve"> 32) </w:t>
      </w:r>
      <w:r w:rsidR="00114C2B" w:rsidRPr="00BE1753">
        <w:rPr>
          <w:rFonts w:ascii="Times New Roman" w:hAnsi="Times New Roman" w:cs="Times New Roman"/>
          <w:sz w:val="24"/>
          <w:szCs w:val="24"/>
        </w:rPr>
        <w:t>za 202</w:t>
      </w:r>
      <w:r w:rsidR="00DB1456" w:rsidRPr="00B61107">
        <w:rPr>
          <w:rFonts w:ascii="Times New Roman" w:hAnsi="Times New Roman" w:cs="Times New Roman"/>
          <w:sz w:val="24"/>
          <w:szCs w:val="24"/>
        </w:rPr>
        <w:t>6</w:t>
      </w:r>
      <w:r w:rsidR="00114C2B" w:rsidRPr="00BE1753">
        <w:rPr>
          <w:rFonts w:ascii="Times New Roman" w:hAnsi="Times New Roman" w:cs="Times New Roman"/>
          <w:sz w:val="24"/>
          <w:szCs w:val="24"/>
        </w:rPr>
        <w:t>.</w:t>
      </w:r>
      <w:r w:rsidR="00B477DD" w:rsidRPr="00BE1753">
        <w:rPr>
          <w:rFonts w:ascii="Times New Roman" w:hAnsi="Times New Roman" w:cs="Times New Roman"/>
          <w:sz w:val="24"/>
          <w:szCs w:val="24"/>
        </w:rPr>
        <w:t xml:space="preserve"> </w:t>
      </w:r>
      <w:r w:rsidR="00114C2B" w:rsidRPr="00BE1753">
        <w:rPr>
          <w:rFonts w:ascii="Times New Roman" w:hAnsi="Times New Roman" w:cs="Times New Roman"/>
          <w:sz w:val="24"/>
          <w:szCs w:val="24"/>
        </w:rPr>
        <w:t xml:space="preserve">godinu </w:t>
      </w:r>
      <w:r w:rsidR="005870EE" w:rsidRPr="00B61107">
        <w:rPr>
          <w:rFonts w:ascii="Times New Roman" w:hAnsi="Times New Roman" w:cs="Times New Roman"/>
          <w:sz w:val="24"/>
          <w:szCs w:val="24"/>
        </w:rPr>
        <w:t>čin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5870EE" w:rsidRPr="00B61107">
        <w:rPr>
          <w:rFonts w:ascii="Times New Roman" w:hAnsi="Times New Roman" w:cs="Times New Roman"/>
          <w:sz w:val="24"/>
          <w:szCs w:val="24"/>
        </w:rPr>
        <w:t xml:space="preserve"> čak 47,7% </w:t>
      </w:r>
      <w:r>
        <w:rPr>
          <w:rFonts w:ascii="Times New Roman" w:hAnsi="Times New Roman" w:cs="Times New Roman"/>
          <w:sz w:val="24"/>
          <w:szCs w:val="24"/>
        </w:rPr>
        <w:t>ukupnog godišnjeg f</w:t>
      </w:r>
      <w:r w:rsidR="005870EE" w:rsidRPr="00B61107">
        <w:rPr>
          <w:rFonts w:ascii="Times New Roman" w:hAnsi="Times New Roman" w:cs="Times New Roman"/>
          <w:sz w:val="24"/>
          <w:szCs w:val="24"/>
        </w:rPr>
        <w:t>inancijskog plana</w:t>
      </w:r>
      <w:r w:rsidR="00BE1753" w:rsidRPr="00B61107">
        <w:rPr>
          <w:rFonts w:ascii="Times New Roman" w:hAnsi="Times New Roman" w:cs="Times New Roman"/>
          <w:sz w:val="24"/>
          <w:szCs w:val="24"/>
        </w:rPr>
        <w:t xml:space="preserve">. </w:t>
      </w:r>
      <w:r w:rsidR="005870EE" w:rsidRPr="00B61107">
        <w:rPr>
          <w:rFonts w:ascii="Times New Roman" w:hAnsi="Times New Roman" w:cs="Times New Roman"/>
          <w:sz w:val="24"/>
          <w:szCs w:val="24"/>
        </w:rPr>
        <w:t xml:space="preserve">Od toga 51% čine rashodi </w:t>
      </w:r>
      <w:r>
        <w:rPr>
          <w:rFonts w:ascii="Times New Roman" w:hAnsi="Times New Roman" w:cs="Times New Roman"/>
          <w:sz w:val="24"/>
          <w:szCs w:val="24"/>
        </w:rPr>
        <w:t xml:space="preserve">za  podmirivanje međunarodnih obveza Republike Hrvatske </w:t>
      </w:r>
      <w:r w:rsidR="00BE1753" w:rsidRPr="00BE1753">
        <w:rPr>
          <w:rFonts w:ascii="Times New Roman" w:hAnsi="Times New Roman" w:cs="Times New Roman"/>
          <w:sz w:val="24"/>
          <w:szCs w:val="24"/>
        </w:rPr>
        <w:t xml:space="preserve">prema Europskoj patentnoj organizaciji i Svjetskoj organizaciji za intelektualno vlasništvo </w:t>
      </w:r>
      <w:r>
        <w:rPr>
          <w:rFonts w:ascii="Times New Roman" w:hAnsi="Times New Roman" w:cs="Times New Roman"/>
          <w:sz w:val="24"/>
          <w:szCs w:val="24"/>
        </w:rPr>
        <w:t>(transfer namjenski uplaćenih p</w:t>
      </w:r>
      <w:r w:rsidRPr="00B61107">
        <w:rPr>
          <w:rFonts w:ascii="Times New Roman" w:hAnsi="Times New Roman" w:cs="Times New Roman"/>
          <w:sz w:val="24"/>
          <w:szCs w:val="24"/>
        </w:rPr>
        <w:t>ristojbi i naknada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61107">
        <w:rPr>
          <w:rFonts w:ascii="Times New Roman" w:hAnsi="Times New Roman" w:cs="Times New Roman"/>
          <w:sz w:val="24"/>
          <w:szCs w:val="24"/>
        </w:rPr>
        <w:t xml:space="preserve"> </w:t>
      </w:r>
      <w:r w:rsidR="00BE1753">
        <w:rPr>
          <w:rFonts w:ascii="Times New Roman" w:hAnsi="Times New Roman" w:cs="Times New Roman"/>
          <w:sz w:val="24"/>
          <w:szCs w:val="24"/>
        </w:rPr>
        <w:t>kasnije detaljnije objašnjeno).</w:t>
      </w:r>
      <w:r w:rsidR="00BE1753" w:rsidRPr="00EE4AD0">
        <w:rPr>
          <w:rFonts w:ascii="Times New Roman" w:hAnsi="Times New Roman" w:cs="Times New Roman"/>
          <w:sz w:val="24"/>
          <w:szCs w:val="24"/>
        </w:rPr>
        <w:t xml:space="preserve"> </w:t>
      </w:r>
      <w:r w:rsidR="00BE1753" w:rsidRPr="00B61107">
        <w:rPr>
          <w:rFonts w:ascii="Times New Roman" w:hAnsi="Times New Roman" w:cs="Times New Roman"/>
          <w:sz w:val="24"/>
          <w:szCs w:val="24"/>
        </w:rPr>
        <w:t xml:space="preserve">Ostali materijalni rashodi odnose se na, </w:t>
      </w:r>
      <w:r>
        <w:rPr>
          <w:rFonts w:ascii="Times New Roman" w:hAnsi="Times New Roman" w:cs="Times New Roman"/>
          <w:sz w:val="24"/>
          <w:szCs w:val="24"/>
        </w:rPr>
        <w:t>u najvećem dijelu</w:t>
      </w:r>
      <w:r w:rsidRPr="00B61107">
        <w:rPr>
          <w:rFonts w:ascii="Times New Roman" w:hAnsi="Times New Roman" w:cs="Times New Roman"/>
          <w:sz w:val="24"/>
          <w:szCs w:val="24"/>
        </w:rPr>
        <w:t xml:space="preserve"> </w:t>
      </w:r>
      <w:r w:rsidR="00BE1753" w:rsidRPr="00B61107">
        <w:rPr>
          <w:rFonts w:ascii="Times New Roman" w:hAnsi="Times New Roman" w:cs="Times New Roman"/>
          <w:sz w:val="24"/>
          <w:szCs w:val="24"/>
        </w:rPr>
        <w:t>računalne usluge (projekt</w:t>
      </w:r>
      <w:r>
        <w:rPr>
          <w:rFonts w:ascii="Times New Roman" w:hAnsi="Times New Roman" w:cs="Times New Roman"/>
          <w:sz w:val="24"/>
          <w:szCs w:val="24"/>
        </w:rPr>
        <w:t>i</w:t>
      </w:r>
      <w:r w:rsidR="00BE1753" w:rsidRPr="00B61107">
        <w:rPr>
          <w:rFonts w:ascii="Times New Roman" w:hAnsi="Times New Roman" w:cs="Times New Roman"/>
          <w:sz w:val="24"/>
          <w:szCs w:val="24"/>
        </w:rPr>
        <w:t xml:space="preserve"> </w:t>
      </w:r>
      <w:r w:rsidR="00BE1753" w:rsidRPr="00E91255">
        <w:rPr>
          <w:rFonts w:ascii="Times New Roman" w:hAnsi="Times New Roman" w:cs="Times New Roman"/>
          <w:sz w:val="24"/>
          <w:szCs w:val="24"/>
        </w:rPr>
        <w:t xml:space="preserve">suradnje između EUIPO-a i DZIV-a  radi promicanja konvergencije praksi i alata u području žigova i dizajna; održavanje </w:t>
      </w:r>
      <w:r>
        <w:rPr>
          <w:rFonts w:ascii="Times New Roman" w:hAnsi="Times New Roman" w:cs="Times New Roman"/>
          <w:sz w:val="24"/>
          <w:szCs w:val="24"/>
        </w:rPr>
        <w:t>korisničkih i poslovnih digitalnih aplikacija</w:t>
      </w:r>
      <w:r w:rsidRPr="00E91255">
        <w:rPr>
          <w:rFonts w:ascii="Times New Roman" w:hAnsi="Times New Roman" w:cs="Times New Roman"/>
          <w:sz w:val="24"/>
          <w:szCs w:val="24"/>
        </w:rPr>
        <w:t xml:space="preserve"> </w:t>
      </w:r>
      <w:r w:rsidR="00BE1753" w:rsidRPr="00E91255">
        <w:rPr>
          <w:rFonts w:ascii="Times New Roman" w:hAnsi="Times New Roman" w:cs="Times New Roman"/>
          <w:sz w:val="24"/>
          <w:szCs w:val="24"/>
        </w:rPr>
        <w:t xml:space="preserve">i softverske licence), zatim rashode </w:t>
      </w:r>
      <w:r w:rsidR="00BE1753" w:rsidRPr="00B61107">
        <w:rPr>
          <w:rFonts w:ascii="Times New Roman" w:hAnsi="Times New Roman" w:cs="Times New Roman"/>
          <w:sz w:val="24"/>
          <w:szCs w:val="24"/>
        </w:rPr>
        <w:t xml:space="preserve">komunikacijskog povezivanja i prijenosa podataka putem komunikacijske mreže javnih tijela </w:t>
      </w:r>
      <w:proofErr w:type="spellStart"/>
      <w:r w:rsidR="00BE1753" w:rsidRPr="00B61107">
        <w:rPr>
          <w:rFonts w:ascii="Times New Roman" w:hAnsi="Times New Roman" w:cs="Times New Roman"/>
          <w:sz w:val="24"/>
          <w:szCs w:val="24"/>
        </w:rPr>
        <w:t>HITRONet</w:t>
      </w:r>
      <w:proofErr w:type="spellEnd"/>
      <w:r w:rsidR="00BE1753" w:rsidRPr="00B61107">
        <w:rPr>
          <w:rFonts w:ascii="Times New Roman" w:hAnsi="Times New Roman" w:cs="Times New Roman"/>
          <w:sz w:val="24"/>
          <w:szCs w:val="24"/>
        </w:rPr>
        <w:t>, rashode službenih putovanja, stručnog usavršavanja i za intelektualne usluge</w:t>
      </w:r>
      <w:r w:rsidR="00E91255" w:rsidRPr="00B61107">
        <w:rPr>
          <w:rFonts w:ascii="Times New Roman" w:hAnsi="Times New Roman" w:cs="Times New Roman"/>
          <w:sz w:val="24"/>
          <w:szCs w:val="24"/>
        </w:rPr>
        <w:t xml:space="preserve">, kao i usluge promidžbe kroz organizaciju događanja za podizanje svijesti o intelektualnom vlasništvu, usluge tekućeg i investicijskog održavanja i sl. </w:t>
      </w:r>
    </w:p>
    <w:p w14:paraId="44D2E311" w14:textId="77777777" w:rsidR="00571253" w:rsidRPr="00B61107" w:rsidRDefault="00571253" w:rsidP="009919D6">
      <w:pPr>
        <w:ind w:firstLine="708"/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18"/>
        <w:gridCol w:w="1610"/>
        <w:gridCol w:w="1602"/>
        <w:gridCol w:w="1602"/>
        <w:gridCol w:w="1602"/>
        <w:gridCol w:w="1602"/>
        <w:gridCol w:w="670"/>
      </w:tblGrid>
      <w:tr w:rsidR="009A1A1A" w:rsidRPr="00D9315B" w14:paraId="2B4478DC" w14:textId="77777777" w:rsidTr="006357A5">
        <w:trPr>
          <w:jc w:val="center"/>
        </w:trPr>
        <w:tc>
          <w:tcPr>
            <w:tcW w:w="1530" w:type="dxa"/>
            <w:shd w:val="clear" w:color="auto" w:fill="B5C0D8"/>
          </w:tcPr>
          <w:p w14:paraId="695DE781" w14:textId="77777777" w:rsidR="0088128F" w:rsidRPr="00F114B2" w:rsidRDefault="0088128F" w:rsidP="00E018D6">
            <w:pPr>
              <w:jc w:val="both"/>
              <w:rPr>
                <w:rFonts w:cs="Times New Roman"/>
              </w:rPr>
            </w:pPr>
          </w:p>
          <w:p w14:paraId="6F76C9C1" w14:textId="77777777" w:rsidR="00BB70BF" w:rsidRPr="00F114B2" w:rsidRDefault="00BB70BF" w:rsidP="007F610C">
            <w:pPr>
              <w:jc w:val="both"/>
              <w:rPr>
                <w:rFonts w:cs="Times New Roman"/>
              </w:rPr>
            </w:pPr>
          </w:p>
        </w:tc>
        <w:tc>
          <w:tcPr>
            <w:tcW w:w="1632" w:type="dxa"/>
            <w:shd w:val="clear" w:color="auto" w:fill="B5C0D8"/>
          </w:tcPr>
          <w:p w14:paraId="3B26D871" w14:textId="6C886242" w:rsidR="00BB70BF" w:rsidRPr="00F114B2" w:rsidRDefault="00BB70BF" w:rsidP="007F610C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Izvršenje 202</w:t>
            </w:r>
            <w:r w:rsidR="00F114B2" w:rsidRPr="00B61107">
              <w:rPr>
                <w:rFonts w:cs="Times New Roman"/>
              </w:rPr>
              <w:t>4</w:t>
            </w:r>
            <w:r w:rsidRPr="00F114B2">
              <w:rPr>
                <w:rFonts w:cs="Times New Roman"/>
              </w:rPr>
              <w:t>.</w:t>
            </w:r>
          </w:p>
        </w:tc>
        <w:tc>
          <w:tcPr>
            <w:tcW w:w="1632" w:type="dxa"/>
            <w:shd w:val="clear" w:color="auto" w:fill="B5C0D8"/>
          </w:tcPr>
          <w:p w14:paraId="5C4A2D1B" w14:textId="472E7FE7" w:rsidR="00BB70BF" w:rsidRPr="00F114B2" w:rsidRDefault="00BB70BF" w:rsidP="007F610C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Plan 202</w:t>
            </w:r>
            <w:r w:rsidR="00F114B2" w:rsidRPr="00B61107">
              <w:rPr>
                <w:rFonts w:cs="Times New Roman"/>
              </w:rPr>
              <w:t>5</w:t>
            </w:r>
            <w:r w:rsidRPr="00F114B2">
              <w:rPr>
                <w:rFonts w:cs="Times New Roman"/>
              </w:rPr>
              <w:t>.</w:t>
            </w:r>
          </w:p>
        </w:tc>
        <w:tc>
          <w:tcPr>
            <w:tcW w:w="1632" w:type="dxa"/>
            <w:shd w:val="clear" w:color="auto" w:fill="B5C0D8"/>
          </w:tcPr>
          <w:p w14:paraId="24B15EA5" w14:textId="5DED998E" w:rsidR="00BB70BF" w:rsidRPr="00F114B2" w:rsidRDefault="00916F04" w:rsidP="007F610C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Plan 202</w:t>
            </w:r>
            <w:r w:rsidR="00F114B2" w:rsidRPr="00B61107">
              <w:rPr>
                <w:rFonts w:cs="Times New Roman"/>
              </w:rPr>
              <w:t>6</w:t>
            </w:r>
            <w:r w:rsidRPr="00F114B2">
              <w:rPr>
                <w:rFonts w:cs="Times New Roman"/>
              </w:rPr>
              <w:t>.</w:t>
            </w:r>
          </w:p>
        </w:tc>
        <w:tc>
          <w:tcPr>
            <w:tcW w:w="1632" w:type="dxa"/>
            <w:shd w:val="clear" w:color="auto" w:fill="B5C0D8"/>
          </w:tcPr>
          <w:p w14:paraId="4388A0C1" w14:textId="7F28D837" w:rsidR="00BB70BF" w:rsidRPr="00F114B2" w:rsidRDefault="00916F04" w:rsidP="007F610C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Plan 202</w:t>
            </w:r>
            <w:r w:rsidR="00F114B2" w:rsidRPr="00B61107">
              <w:rPr>
                <w:rFonts w:cs="Times New Roman"/>
              </w:rPr>
              <w:t>7</w:t>
            </w:r>
            <w:r w:rsidRPr="00F114B2">
              <w:rPr>
                <w:rFonts w:cs="Times New Roman"/>
              </w:rPr>
              <w:t>.</w:t>
            </w:r>
          </w:p>
        </w:tc>
        <w:tc>
          <w:tcPr>
            <w:tcW w:w="1632" w:type="dxa"/>
            <w:shd w:val="clear" w:color="auto" w:fill="B5C0D8"/>
          </w:tcPr>
          <w:p w14:paraId="6B8BEA85" w14:textId="5CFBAAF1" w:rsidR="00BB70BF" w:rsidRPr="00F114B2" w:rsidRDefault="00BB70BF" w:rsidP="007F610C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Plan 202</w:t>
            </w:r>
            <w:r w:rsidR="00F114B2" w:rsidRPr="00B61107">
              <w:rPr>
                <w:rFonts w:cs="Times New Roman"/>
              </w:rPr>
              <w:t>8</w:t>
            </w:r>
            <w:r w:rsidRPr="00F114B2">
              <w:rPr>
                <w:rFonts w:cs="Times New Roman"/>
              </w:rPr>
              <w:t>.</w:t>
            </w:r>
          </w:p>
        </w:tc>
        <w:tc>
          <w:tcPr>
            <w:tcW w:w="510" w:type="dxa"/>
            <w:shd w:val="clear" w:color="auto" w:fill="B5C0D8"/>
          </w:tcPr>
          <w:p w14:paraId="71B0EB6C" w14:textId="67C91F0C" w:rsidR="00BB70BF" w:rsidRPr="00F114B2" w:rsidRDefault="00BB70BF" w:rsidP="007F610C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 xml:space="preserve">Indeks </w:t>
            </w:r>
            <w:r w:rsidR="0088128F" w:rsidRPr="00F114B2">
              <w:rPr>
                <w:rFonts w:cs="Times New Roman"/>
              </w:rPr>
              <w:t>2</w:t>
            </w:r>
            <w:r w:rsidR="00F114B2" w:rsidRPr="00B61107">
              <w:rPr>
                <w:rFonts w:cs="Times New Roman"/>
              </w:rPr>
              <w:t>6</w:t>
            </w:r>
            <w:r w:rsidR="0088128F" w:rsidRPr="00F114B2">
              <w:rPr>
                <w:rFonts w:cs="Times New Roman"/>
              </w:rPr>
              <w:t>./2</w:t>
            </w:r>
            <w:r w:rsidR="00F114B2" w:rsidRPr="00B61107">
              <w:rPr>
                <w:rFonts w:cs="Times New Roman"/>
              </w:rPr>
              <w:t>5</w:t>
            </w:r>
            <w:r w:rsidR="0088128F" w:rsidRPr="00F114B2">
              <w:rPr>
                <w:rFonts w:cs="Times New Roman"/>
              </w:rPr>
              <w:t>.</w:t>
            </w:r>
          </w:p>
        </w:tc>
      </w:tr>
      <w:tr w:rsidR="007F610C" w:rsidRPr="00D9315B" w14:paraId="04A085D4" w14:textId="77777777" w:rsidTr="006357A5">
        <w:trPr>
          <w:jc w:val="center"/>
        </w:trPr>
        <w:tc>
          <w:tcPr>
            <w:tcW w:w="1530" w:type="dxa"/>
          </w:tcPr>
          <w:p w14:paraId="7CDD55AD" w14:textId="426D8048" w:rsidR="00BB70BF" w:rsidRPr="00F114B2" w:rsidRDefault="00BB70BF" w:rsidP="007F610C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08012</w:t>
            </w:r>
            <w:r w:rsidR="00AD402D" w:rsidRPr="00F114B2">
              <w:rPr>
                <w:rFonts w:cs="Times New Roman"/>
              </w:rPr>
              <w:t xml:space="preserve"> Državni zavod za intelektualno vlasništvo</w:t>
            </w:r>
          </w:p>
        </w:tc>
        <w:tc>
          <w:tcPr>
            <w:tcW w:w="1632" w:type="dxa"/>
          </w:tcPr>
          <w:p w14:paraId="522CD22C" w14:textId="77777777" w:rsidR="00BB70BF" w:rsidRPr="00F114B2" w:rsidRDefault="00BB70BF" w:rsidP="007F610C">
            <w:pPr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14:paraId="1C87B36F" w14:textId="77777777" w:rsidR="00BB70BF" w:rsidRPr="00F114B2" w:rsidRDefault="00BB70BF" w:rsidP="007F610C">
            <w:pPr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14:paraId="1CFB6DD0" w14:textId="77777777" w:rsidR="00BB70BF" w:rsidRPr="00F114B2" w:rsidRDefault="00BB70BF" w:rsidP="007F610C">
            <w:pPr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14:paraId="74B078C9" w14:textId="77777777" w:rsidR="00BB70BF" w:rsidRPr="00F114B2" w:rsidRDefault="00BB70BF" w:rsidP="007F610C">
            <w:pPr>
              <w:jc w:val="both"/>
              <w:rPr>
                <w:rFonts w:cs="Times New Roman"/>
              </w:rPr>
            </w:pPr>
          </w:p>
        </w:tc>
        <w:tc>
          <w:tcPr>
            <w:tcW w:w="1632" w:type="dxa"/>
          </w:tcPr>
          <w:p w14:paraId="3116A803" w14:textId="77777777" w:rsidR="00BB70BF" w:rsidRPr="00F114B2" w:rsidRDefault="00BB70BF" w:rsidP="007F610C">
            <w:pPr>
              <w:jc w:val="both"/>
              <w:rPr>
                <w:rFonts w:cs="Times New Roman"/>
              </w:rPr>
            </w:pPr>
          </w:p>
        </w:tc>
        <w:tc>
          <w:tcPr>
            <w:tcW w:w="510" w:type="dxa"/>
          </w:tcPr>
          <w:p w14:paraId="4D3851A2" w14:textId="77777777" w:rsidR="00BB70BF" w:rsidRPr="00F114B2" w:rsidRDefault="00BB70BF" w:rsidP="007F610C">
            <w:pPr>
              <w:jc w:val="both"/>
              <w:rPr>
                <w:rFonts w:cs="Times New Roman"/>
              </w:rPr>
            </w:pPr>
          </w:p>
        </w:tc>
      </w:tr>
    </w:tbl>
    <w:p w14:paraId="1D3ABE8E" w14:textId="77777777" w:rsidR="00BB70BF" w:rsidRPr="00D9315B" w:rsidRDefault="00BB70BF" w:rsidP="007F610C">
      <w:pPr>
        <w:jc w:val="both"/>
        <w:rPr>
          <w:rFonts w:ascii="Times New Roman" w:hAnsi="Times New Roman" w:cs="Times New Roman"/>
          <w:highlight w:val="yellow"/>
        </w:rPr>
      </w:pPr>
    </w:p>
    <w:p w14:paraId="2530F1B6" w14:textId="77777777" w:rsidR="000060DD" w:rsidRPr="00D9315B" w:rsidRDefault="000060DD" w:rsidP="00F51C89">
      <w:pPr>
        <w:jc w:val="both"/>
        <w:rPr>
          <w:rFonts w:ascii="Times New Roman" w:hAnsi="Times New Roman" w:cs="Times New Roman"/>
          <w:highlight w:val="yellow"/>
        </w:rPr>
      </w:pPr>
    </w:p>
    <w:p w14:paraId="61B58910" w14:textId="77777777" w:rsidR="00021B5C" w:rsidRPr="00D9315B" w:rsidRDefault="00021B5C" w:rsidP="00F51C89">
      <w:pPr>
        <w:jc w:val="both"/>
        <w:rPr>
          <w:rFonts w:ascii="Times New Roman" w:hAnsi="Times New Roman" w:cs="Times New Roman"/>
          <w:highlight w:val="yellow"/>
        </w:rPr>
      </w:pPr>
    </w:p>
    <w:p w14:paraId="71AD0B53" w14:textId="77777777" w:rsidR="00BB70BF" w:rsidRPr="00F114B2" w:rsidRDefault="00BB70BF" w:rsidP="007F610C">
      <w:pPr>
        <w:pStyle w:val="Heading3"/>
        <w:rPr>
          <w:rFonts w:cs="Times New Roman"/>
          <w:lang w:val="hr-HR"/>
        </w:rPr>
      </w:pPr>
      <w:r w:rsidRPr="00F114B2">
        <w:rPr>
          <w:rFonts w:cs="Times New Roman"/>
          <w:lang w:val="hr-HR"/>
        </w:rPr>
        <w:t>3801 ULAGANJE U ZNANSTVENO ISTRAŽIVAČKU DJELATNOST</w:t>
      </w:r>
    </w:p>
    <w:p w14:paraId="0C5822A0" w14:textId="77777777" w:rsidR="00021B5C" w:rsidRPr="00D9315B" w:rsidRDefault="00021B5C" w:rsidP="00F815A6">
      <w:pPr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00"/>
        <w:gridCol w:w="1608"/>
        <w:gridCol w:w="1600"/>
        <w:gridCol w:w="1600"/>
        <w:gridCol w:w="1600"/>
        <w:gridCol w:w="1600"/>
        <w:gridCol w:w="698"/>
      </w:tblGrid>
      <w:tr w:rsidR="00F114B2" w:rsidRPr="00D9315B" w14:paraId="455B58AF" w14:textId="77777777" w:rsidTr="004A3D7D">
        <w:trPr>
          <w:jc w:val="center"/>
        </w:trPr>
        <w:tc>
          <w:tcPr>
            <w:tcW w:w="1500" w:type="dxa"/>
            <w:shd w:val="clear" w:color="auto" w:fill="B5C0D8"/>
          </w:tcPr>
          <w:p w14:paraId="2C35189C" w14:textId="77777777" w:rsidR="00F114B2" w:rsidRPr="00D9315B" w:rsidRDefault="00F114B2" w:rsidP="00F114B2">
            <w:pPr>
              <w:jc w:val="both"/>
              <w:rPr>
                <w:rFonts w:cs="Times New Roman"/>
                <w:highlight w:val="yellow"/>
              </w:rPr>
            </w:pPr>
          </w:p>
          <w:p w14:paraId="169862C5" w14:textId="77777777" w:rsidR="00F114B2" w:rsidRPr="00D9315B" w:rsidRDefault="00F114B2" w:rsidP="00F114B2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608" w:type="dxa"/>
            <w:shd w:val="clear" w:color="auto" w:fill="B5C0D8"/>
          </w:tcPr>
          <w:p w14:paraId="6F11DD88" w14:textId="29B8EDFF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Izvršenje 2024.</w:t>
            </w:r>
          </w:p>
        </w:tc>
        <w:tc>
          <w:tcPr>
            <w:tcW w:w="1600" w:type="dxa"/>
            <w:shd w:val="clear" w:color="auto" w:fill="B5C0D8"/>
          </w:tcPr>
          <w:p w14:paraId="1B6C8C91" w14:textId="368F12EC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Plan 2025.</w:t>
            </w:r>
          </w:p>
        </w:tc>
        <w:tc>
          <w:tcPr>
            <w:tcW w:w="1600" w:type="dxa"/>
            <w:shd w:val="clear" w:color="auto" w:fill="B5C0D8"/>
          </w:tcPr>
          <w:p w14:paraId="2E59485B" w14:textId="29D5C5EC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Plan 2026.</w:t>
            </w:r>
          </w:p>
        </w:tc>
        <w:tc>
          <w:tcPr>
            <w:tcW w:w="1600" w:type="dxa"/>
            <w:shd w:val="clear" w:color="auto" w:fill="B5C0D8"/>
          </w:tcPr>
          <w:p w14:paraId="32398EF2" w14:textId="0916AE94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Plan 2027.</w:t>
            </w:r>
          </w:p>
        </w:tc>
        <w:tc>
          <w:tcPr>
            <w:tcW w:w="1600" w:type="dxa"/>
            <w:shd w:val="clear" w:color="auto" w:fill="B5C0D8"/>
          </w:tcPr>
          <w:p w14:paraId="652DA31E" w14:textId="46340DF3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Plan 2028.</w:t>
            </w:r>
          </w:p>
        </w:tc>
        <w:tc>
          <w:tcPr>
            <w:tcW w:w="698" w:type="dxa"/>
            <w:shd w:val="clear" w:color="auto" w:fill="B5C0D8"/>
          </w:tcPr>
          <w:p w14:paraId="22D7A17F" w14:textId="5608073B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Indeks 26./25.</w:t>
            </w:r>
          </w:p>
        </w:tc>
      </w:tr>
      <w:tr w:rsidR="007F610C" w:rsidRPr="00D9315B" w14:paraId="74651893" w14:textId="77777777" w:rsidTr="004A3D7D">
        <w:trPr>
          <w:jc w:val="center"/>
        </w:trPr>
        <w:tc>
          <w:tcPr>
            <w:tcW w:w="1500" w:type="dxa"/>
          </w:tcPr>
          <w:p w14:paraId="5C65F95B" w14:textId="77777777" w:rsidR="00BB70BF" w:rsidRPr="00D9315B" w:rsidRDefault="00BB70BF" w:rsidP="007F610C">
            <w:pPr>
              <w:rPr>
                <w:rFonts w:cs="Times New Roman"/>
                <w:highlight w:val="yellow"/>
              </w:rPr>
            </w:pPr>
            <w:r w:rsidRPr="00F114B2">
              <w:rPr>
                <w:rFonts w:cs="Times New Roman"/>
              </w:rPr>
              <w:t>3801</w:t>
            </w:r>
          </w:p>
        </w:tc>
        <w:tc>
          <w:tcPr>
            <w:tcW w:w="1608" w:type="dxa"/>
          </w:tcPr>
          <w:p w14:paraId="4F1BF259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600" w:type="dxa"/>
          </w:tcPr>
          <w:p w14:paraId="7E2D1572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600" w:type="dxa"/>
          </w:tcPr>
          <w:p w14:paraId="229CC3CE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600" w:type="dxa"/>
          </w:tcPr>
          <w:p w14:paraId="73108662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600" w:type="dxa"/>
          </w:tcPr>
          <w:p w14:paraId="5C00418E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698" w:type="dxa"/>
          </w:tcPr>
          <w:p w14:paraId="10DFCA6B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</w:tr>
    </w:tbl>
    <w:p w14:paraId="16DA3C40" w14:textId="77777777" w:rsidR="00BB70BF" w:rsidRPr="007343C7" w:rsidRDefault="00BB70BF" w:rsidP="00EA20A0">
      <w:pPr>
        <w:pStyle w:val="Heading8"/>
        <w:rPr>
          <w:rFonts w:ascii="Times New Roman" w:hAnsi="Times New Roman" w:cs="Times New Roman"/>
          <w:b/>
          <w:sz w:val="24"/>
          <w:szCs w:val="24"/>
        </w:rPr>
      </w:pPr>
      <w:r w:rsidRPr="007343C7">
        <w:rPr>
          <w:rFonts w:ascii="Times New Roman" w:hAnsi="Times New Roman" w:cs="Times New Roman"/>
          <w:b/>
          <w:sz w:val="24"/>
          <w:szCs w:val="24"/>
        </w:rPr>
        <w:t>Cilj 1. Povećati kvalitetu i učinkovitost sustava zaštite prava industrijskog vlasništva</w:t>
      </w:r>
    </w:p>
    <w:p w14:paraId="4D461B98" w14:textId="77777777" w:rsidR="00BB70BF" w:rsidRPr="007343C7" w:rsidRDefault="00BB70BF" w:rsidP="00EA20A0">
      <w:pPr>
        <w:pStyle w:val="Heading8"/>
        <w:rPr>
          <w:rFonts w:ascii="Times New Roman" w:hAnsi="Times New Roman" w:cs="Times New Roman"/>
          <w:b/>
          <w:sz w:val="24"/>
          <w:szCs w:val="24"/>
        </w:rPr>
      </w:pPr>
      <w:r w:rsidRPr="007343C7">
        <w:rPr>
          <w:rFonts w:ascii="Times New Roman" w:hAnsi="Times New Roman" w:cs="Times New Roman"/>
          <w:b/>
          <w:sz w:val="24"/>
          <w:szCs w:val="24"/>
        </w:rPr>
        <w:t>Cilj 2. Povećati kvalitetu i učinkovitost sustava zaštite autorskih i srodnih prava</w:t>
      </w:r>
    </w:p>
    <w:p w14:paraId="159D86D7" w14:textId="1C91C769" w:rsidR="00BB70BF" w:rsidRPr="007343C7" w:rsidRDefault="00BB70BF" w:rsidP="00EA20A0">
      <w:pPr>
        <w:pStyle w:val="Heading8"/>
        <w:rPr>
          <w:rFonts w:ascii="Times New Roman" w:hAnsi="Times New Roman" w:cs="Times New Roman"/>
          <w:b/>
          <w:sz w:val="24"/>
          <w:szCs w:val="24"/>
        </w:rPr>
      </w:pPr>
      <w:r w:rsidRPr="007343C7">
        <w:rPr>
          <w:rFonts w:ascii="Times New Roman" w:hAnsi="Times New Roman" w:cs="Times New Roman"/>
          <w:b/>
          <w:sz w:val="24"/>
          <w:szCs w:val="24"/>
        </w:rPr>
        <w:t>Cilj 3. Povećati učinkovitost sustava provedbe prava intelektualnog vlasništva</w:t>
      </w:r>
    </w:p>
    <w:p w14:paraId="574A99CE" w14:textId="77777777" w:rsidR="00BB70BF" w:rsidRPr="007343C7" w:rsidRDefault="00BB70BF" w:rsidP="00EA20A0">
      <w:pPr>
        <w:pStyle w:val="Heading8"/>
        <w:rPr>
          <w:rFonts w:ascii="Times New Roman" w:hAnsi="Times New Roman" w:cs="Times New Roman"/>
          <w:b/>
          <w:sz w:val="24"/>
          <w:szCs w:val="24"/>
        </w:rPr>
      </w:pPr>
      <w:r w:rsidRPr="007343C7">
        <w:rPr>
          <w:rFonts w:ascii="Times New Roman" w:hAnsi="Times New Roman" w:cs="Times New Roman"/>
          <w:b/>
          <w:sz w:val="24"/>
          <w:szCs w:val="24"/>
        </w:rPr>
        <w:t>Cilj 4. Povećati stupanj korištenja sustava zaštite intelektualnog vlasništva od strane domaćih subjekata</w:t>
      </w:r>
    </w:p>
    <w:p w14:paraId="33626A57" w14:textId="77777777" w:rsidR="00021B5C" w:rsidRPr="00B61107" w:rsidRDefault="00021B5C" w:rsidP="00021B5C">
      <w:pPr>
        <w:rPr>
          <w:rFonts w:ascii="Times New Roman" w:hAnsi="Times New Roman" w:cs="Times New Roman"/>
          <w:b/>
          <w:highlight w:val="yellow"/>
        </w:rPr>
      </w:pPr>
    </w:p>
    <w:p w14:paraId="63FB5A69" w14:textId="77777777" w:rsidR="00BB70BF" w:rsidRPr="007B38B2" w:rsidRDefault="00BB70BF" w:rsidP="00EA20A0">
      <w:pPr>
        <w:pStyle w:val="Heading8"/>
        <w:rPr>
          <w:rFonts w:ascii="Times New Roman" w:hAnsi="Times New Roman" w:cs="Times New Roman"/>
          <w:b/>
          <w:sz w:val="24"/>
          <w:szCs w:val="24"/>
        </w:rPr>
      </w:pPr>
      <w:r w:rsidRPr="007B38B2">
        <w:rPr>
          <w:rFonts w:ascii="Times New Roman" w:hAnsi="Times New Roman" w:cs="Times New Roman"/>
          <w:b/>
          <w:sz w:val="24"/>
          <w:szCs w:val="24"/>
        </w:rP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162"/>
        <w:gridCol w:w="2181"/>
        <w:gridCol w:w="1025"/>
        <w:gridCol w:w="1103"/>
        <w:gridCol w:w="981"/>
        <w:gridCol w:w="918"/>
        <w:gridCol w:w="918"/>
        <w:gridCol w:w="918"/>
      </w:tblGrid>
      <w:tr w:rsidR="00A34BF0" w:rsidRPr="00D9315B" w14:paraId="3A870019" w14:textId="77777777" w:rsidTr="006357A5">
        <w:trPr>
          <w:jc w:val="center"/>
        </w:trPr>
        <w:tc>
          <w:tcPr>
            <w:tcW w:w="2162" w:type="dxa"/>
            <w:shd w:val="clear" w:color="auto" w:fill="B5C0D8"/>
          </w:tcPr>
          <w:p w14:paraId="3CC86189" w14:textId="77777777" w:rsidR="00A34BF0" w:rsidRPr="007B38B2" w:rsidRDefault="00A34BF0" w:rsidP="00A34BF0">
            <w:pPr>
              <w:rPr>
                <w:rFonts w:cs="Times New Roman"/>
              </w:rPr>
            </w:pPr>
            <w:r w:rsidRPr="007B38B2">
              <w:rPr>
                <w:rFonts w:cs="Times New Roman"/>
              </w:rPr>
              <w:t>Pokazatelj učinka</w:t>
            </w:r>
          </w:p>
        </w:tc>
        <w:tc>
          <w:tcPr>
            <w:tcW w:w="2181" w:type="dxa"/>
            <w:shd w:val="clear" w:color="auto" w:fill="B5C0D8"/>
          </w:tcPr>
          <w:p w14:paraId="6E52941E" w14:textId="77777777" w:rsidR="00A34BF0" w:rsidRPr="007B38B2" w:rsidRDefault="00A34BF0" w:rsidP="00A34BF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7B38B2">
              <w:rPr>
                <w:rFonts w:cs="Times New Roman"/>
                <w:lang w:val="hr-HR"/>
              </w:rPr>
              <w:t>Definicija</w:t>
            </w:r>
          </w:p>
        </w:tc>
        <w:tc>
          <w:tcPr>
            <w:tcW w:w="1025" w:type="dxa"/>
            <w:shd w:val="clear" w:color="auto" w:fill="B5C0D8"/>
          </w:tcPr>
          <w:p w14:paraId="71092A72" w14:textId="77777777" w:rsidR="00A34BF0" w:rsidRPr="007B38B2" w:rsidRDefault="00A34BF0" w:rsidP="00A34BF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7B38B2">
              <w:rPr>
                <w:rFonts w:cs="Times New Roman"/>
                <w:lang w:val="hr-HR"/>
              </w:rPr>
              <w:t>Jedinica</w:t>
            </w:r>
          </w:p>
        </w:tc>
        <w:tc>
          <w:tcPr>
            <w:tcW w:w="1103" w:type="dxa"/>
            <w:shd w:val="clear" w:color="auto" w:fill="B5C0D8"/>
          </w:tcPr>
          <w:p w14:paraId="07AE58D2" w14:textId="77777777" w:rsidR="00A34BF0" w:rsidRPr="007B38B2" w:rsidRDefault="00A34BF0" w:rsidP="00A34BF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7B38B2">
              <w:rPr>
                <w:rFonts w:cs="Times New Roman"/>
                <w:lang w:val="hr-HR"/>
              </w:rPr>
              <w:t>Polazna vrijednost</w:t>
            </w:r>
          </w:p>
        </w:tc>
        <w:tc>
          <w:tcPr>
            <w:tcW w:w="981" w:type="dxa"/>
            <w:shd w:val="clear" w:color="auto" w:fill="B5C0D8"/>
          </w:tcPr>
          <w:p w14:paraId="46921813" w14:textId="77777777" w:rsidR="00A34BF0" w:rsidRPr="007B38B2" w:rsidRDefault="00A34BF0" w:rsidP="00A34BF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7B38B2">
              <w:rPr>
                <w:rFonts w:cs="Times New Roman"/>
                <w:lang w:val="hr-HR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6DB27C0C" w14:textId="0D0A481D" w:rsidR="00A34BF0" w:rsidRPr="007B38B2" w:rsidRDefault="00A34BF0" w:rsidP="00A34BF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7B38B2">
              <w:rPr>
                <w:rFonts w:cs="Times New Roman"/>
                <w:lang w:val="hr-HR"/>
              </w:rPr>
              <w:t>Ciljana vrijednost (202</w:t>
            </w:r>
            <w:r w:rsidR="007B38B2">
              <w:rPr>
                <w:rFonts w:cs="Times New Roman"/>
                <w:lang w:val="hr-HR"/>
              </w:rPr>
              <w:t>6</w:t>
            </w:r>
            <w:r w:rsidRPr="007B38B2">
              <w:rPr>
                <w:rFonts w:cs="Times New Roman"/>
                <w:lang w:val="hr-HR"/>
              </w:rPr>
              <w:t>.)</w:t>
            </w:r>
          </w:p>
        </w:tc>
        <w:tc>
          <w:tcPr>
            <w:tcW w:w="918" w:type="dxa"/>
            <w:shd w:val="clear" w:color="auto" w:fill="B5C0D8"/>
          </w:tcPr>
          <w:p w14:paraId="734DCED1" w14:textId="5E7D46AB" w:rsidR="00A34BF0" w:rsidRPr="007B38B2" w:rsidRDefault="00A34BF0" w:rsidP="00A34BF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7B38B2">
              <w:rPr>
                <w:rFonts w:cs="Times New Roman"/>
                <w:lang w:val="hr-HR"/>
              </w:rPr>
              <w:t>Ciljana vrijednost (202</w:t>
            </w:r>
            <w:r w:rsidR="007B38B2">
              <w:rPr>
                <w:rFonts w:cs="Times New Roman"/>
                <w:lang w:val="hr-HR"/>
              </w:rPr>
              <w:t>7</w:t>
            </w:r>
            <w:r w:rsidRPr="007B38B2">
              <w:rPr>
                <w:rFonts w:cs="Times New Roman"/>
                <w:lang w:val="hr-HR"/>
              </w:rPr>
              <w:t>.)</w:t>
            </w:r>
          </w:p>
        </w:tc>
        <w:tc>
          <w:tcPr>
            <w:tcW w:w="918" w:type="dxa"/>
            <w:shd w:val="clear" w:color="auto" w:fill="B5C0D8"/>
          </w:tcPr>
          <w:p w14:paraId="0B042EE0" w14:textId="070CE890" w:rsidR="00A34BF0" w:rsidRPr="007B38B2" w:rsidRDefault="00A34BF0" w:rsidP="00A34BF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7B38B2">
              <w:rPr>
                <w:rFonts w:cs="Times New Roman"/>
                <w:lang w:val="hr-HR"/>
              </w:rPr>
              <w:t>Ciljana vrijednost (202</w:t>
            </w:r>
            <w:r w:rsidR="007B38B2">
              <w:rPr>
                <w:rFonts w:cs="Times New Roman"/>
                <w:lang w:val="hr-HR"/>
              </w:rPr>
              <w:t>8</w:t>
            </w:r>
            <w:r w:rsidRPr="007B38B2">
              <w:rPr>
                <w:rFonts w:cs="Times New Roman"/>
                <w:lang w:val="hr-HR"/>
              </w:rPr>
              <w:t>.)</w:t>
            </w:r>
          </w:p>
        </w:tc>
      </w:tr>
      <w:tr w:rsidR="00CA055E" w:rsidRPr="00D9315B" w14:paraId="1CD270AF" w14:textId="77777777" w:rsidTr="006357A5">
        <w:trPr>
          <w:jc w:val="center"/>
        </w:trPr>
        <w:tc>
          <w:tcPr>
            <w:tcW w:w="2162" w:type="dxa"/>
          </w:tcPr>
          <w:p w14:paraId="5D88A895" w14:textId="72B4AE20" w:rsidR="00CA055E" w:rsidRPr="00CA055E" w:rsidRDefault="00CA055E" w:rsidP="00CA055E">
            <w:pPr>
              <w:pStyle w:val="CellColumn"/>
              <w:jc w:val="left"/>
              <w:rPr>
                <w:rFonts w:cs="Times New Roman"/>
                <w:szCs w:val="20"/>
                <w:lang w:val="hr-HR"/>
              </w:rPr>
            </w:pPr>
            <w:r w:rsidRPr="00CA055E">
              <w:rPr>
                <w:rFonts w:cs="Times New Roman"/>
                <w:lang w:val="hr-HR"/>
              </w:rPr>
              <w:t>Povećanje broja prijava industrijskog vlasništva  domaćih prijavitelja u nacionalnim  postupcima</w:t>
            </w:r>
          </w:p>
          <w:p w14:paraId="681B85D0" w14:textId="77777777" w:rsidR="00CA055E" w:rsidRPr="00CA055E" w:rsidRDefault="00CA055E" w:rsidP="00CA055E">
            <w:pPr>
              <w:pStyle w:val="CellColumn"/>
              <w:jc w:val="left"/>
              <w:rPr>
                <w:rFonts w:cs="Times New Roman"/>
                <w:lang w:val="hr-HR"/>
              </w:rPr>
            </w:pPr>
          </w:p>
        </w:tc>
        <w:tc>
          <w:tcPr>
            <w:tcW w:w="2181" w:type="dxa"/>
          </w:tcPr>
          <w:p w14:paraId="02E96863" w14:textId="6E8542F9" w:rsidR="00CA055E" w:rsidRPr="00CA055E" w:rsidRDefault="00CA055E" w:rsidP="00CA055E">
            <w:pPr>
              <w:pStyle w:val="CellColumn"/>
              <w:jc w:val="left"/>
              <w:rPr>
                <w:rFonts w:cs="Times New Roman"/>
                <w:lang w:val="hr-HR"/>
              </w:rPr>
            </w:pPr>
            <w:r w:rsidRPr="00CA055E">
              <w:rPr>
                <w:rFonts w:cs="Times New Roman"/>
                <w:lang w:val="hr-HR"/>
              </w:rPr>
              <w:t>Ukupni broj prijava za zaštitu patenata (nacionalne prijave, PCT prijave – nacionalna faza), žiga (nacionalne prijave) i industrijskog dizajna (nacionalne prijave) – ne uključuje prijave za jedinstvenu zaštitu na ukupnom teritoriju Europske unije (žig i registrirani dizajn Europske unije)</w:t>
            </w:r>
          </w:p>
        </w:tc>
        <w:tc>
          <w:tcPr>
            <w:tcW w:w="1025" w:type="dxa"/>
          </w:tcPr>
          <w:p w14:paraId="4F56600D" w14:textId="77777777" w:rsidR="00CA055E" w:rsidRPr="00CA055E" w:rsidRDefault="00CA055E" w:rsidP="00CA055E">
            <w:pPr>
              <w:rPr>
                <w:rFonts w:cs="Times New Roman"/>
              </w:rPr>
            </w:pPr>
            <w:r w:rsidRPr="00CA055E">
              <w:rPr>
                <w:rFonts w:cs="Times New Roman"/>
              </w:rPr>
              <w:t>%</w:t>
            </w:r>
          </w:p>
        </w:tc>
        <w:tc>
          <w:tcPr>
            <w:tcW w:w="1103" w:type="dxa"/>
          </w:tcPr>
          <w:p w14:paraId="28A06137" w14:textId="77777777" w:rsidR="00CA055E" w:rsidRPr="00CA055E" w:rsidRDefault="00CA055E" w:rsidP="00CA055E">
            <w:pPr>
              <w:spacing w:after="160" w:line="259" w:lineRule="auto"/>
              <w:rPr>
                <w:rFonts w:cs="Times New Roman"/>
              </w:rPr>
            </w:pPr>
            <w:r w:rsidRPr="00CA055E">
              <w:rPr>
                <w:rFonts w:cs="Times New Roman"/>
              </w:rPr>
              <w:t xml:space="preserve">1417 </w:t>
            </w:r>
          </w:p>
          <w:p w14:paraId="3FAFB482" w14:textId="07B0E726" w:rsidR="00CA055E" w:rsidRPr="00CA055E" w:rsidRDefault="00CA055E" w:rsidP="00CA055E">
            <w:pPr>
              <w:spacing w:after="160" w:line="259" w:lineRule="auto"/>
              <w:rPr>
                <w:rFonts w:cs="Times New Roman"/>
              </w:rPr>
            </w:pPr>
            <w:r w:rsidRPr="00CA055E">
              <w:rPr>
                <w:rFonts w:cs="Times New Roman"/>
              </w:rPr>
              <w:t>(2023)</w:t>
            </w:r>
          </w:p>
        </w:tc>
        <w:tc>
          <w:tcPr>
            <w:tcW w:w="981" w:type="dxa"/>
          </w:tcPr>
          <w:p w14:paraId="5EB84062" w14:textId="77777777" w:rsidR="00CA055E" w:rsidRPr="00CA055E" w:rsidRDefault="00CA055E" w:rsidP="00CA055E">
            <w:pPr>
              <w:pStyle w:val="CellColumn"/>
              <w:jc w:val="center"/>
              <w:rPr>
                <w:rFonts w:cs="Times New Roman"/>
                <w:szCs w:val="20"/>
                <w:lang w:val="hr-HR"/>
              </w:rPr>
            </w:pPr>
            <w:r w:rsidRPr="00CA055E">
              <w:rPr>
                <w:rFonts w:cs="Times New Roman"/>
                <w:lang w:val="hr-HR"/>
              </w:rPr>
              <w:t>DZIV</w:t>
            </w:r>
          </w:p>
          <w:p w14:paraId="52ACAB47" w14:textId="77777777" w:rsidR="00CA055E" w:rsidRPr="00CA055E" w:rsidRDefault="00CA055E" w:rsidP="00CA055E">
            <w:pPr>
              <w:pStyle w:val="CellColumn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918" w:type="dxa"/>
          </w:tcPr>
          <w:p w14:paraId="4533AAA5" w14:textId="15429902" w:rsidR="00CA055E" w:rsidRPr="00CA055E" w:rsidRDefault="00CA055E" w:rsidP="00CA055E">
            <w:pPr>
              <w:rPr>
                <w:rFonts w:cs="Times New Roman"/>
              </w:rPr>
            </w:pPr>
            <w:r w:rsidRPr="00B61107">
              <w:rPr>
                <w:rFonts w:cs="Times New Roman"/>
              </w:rPr>
              <w:t>4%</w:t>
            </w:r>
          </w:p>
        </w:tc>
        <w:tc>
          <w:tcPr>
            <w:tcW w:w="918" w:type="dxa"/>
          </w:tcPr>
          <w:p w14:paraId="6A264C56" w14:textId="36F49A26" w:rsidR="00CA055E" w:rsidRPr="00CA055E" w:rsidRDefault="00CA055E" w:rsidP="00CA055E">
            <w:pPr>
              <w:rPr>
                <w:rFonts w:cs="Times New Roman"/>
              </w:rPr>
            </w:pPr>
            <w:r w:rsidRPr="00B61107">
              <w:rPr>
                <w:rFonts w:cs="Times New Roman"/>
                <w:szCs w:val="20"/>
              </w:rPr>
              <w:t>6%</w:t>
            </w:r>
          </w:p>
        </w:tc>
        <w:tc>
          <w:tcPr>
            <w:tcW w:w="918" w:type="dxa"/>
          </w:tcPr>
          <w:p w14:paraId="5A4B7B9F" w14:textId="60CA7506" w:rsidR="00CA055E" w:rsidRPr="00CA055E" w:rsidRDefault="00CA055E" w:rsidP="00CA055E">
            <w:pPr>
              <w:rPr>
                <w:rFonts w:cs="Times New Roman"/>
              </w:rPr>
            </w:pPr>
            <w:r w:rsidRPr="00B61107">
              <w:rPr>
                <w:rFonts w:cs="Times New Roman"/>
                <w:szCs w:val="20"/>
              </w:rPr>
              <w:t>8</w:t>
            </w:r>
            <w:r w:rsidRPr="00CA055E">
              <w:rPr>
                <w:rFonts w:cs="Times New Roman"/>
                <w:szCs w:val="20"/>
              </w:rPr>
              <w:t>%</w:t>
            </w:r>
          </w:p>
        </w:tc>
      </w:tr>
      <w:tr w:rsidR="00CA055E" w:rsidRPr="00D9315B" w14:paraId="787FC9C2" w14:textId="77777777" w:rsidTr="006357A5">
        <w:trPr>
          <w:jc w:val="center"/>
        </w:trPr>
        <w:tc>
          <w:tcPr>
            <w:tcW w:w="2162" w:type="dxa"/>
          </w:tcPr>
          <w:p w14:paraId="0A517CC5" w14:textId="3D5FD249" w:rsidR="00CA055E" w:rsidRPr="00CA055E" w:rsidRDefault="00CA055E" w:rsidP="00CA055E">
            <w:pPr>
              <w:pStyle w:val="CellColumn"/>
              <w:jc w:val="left"/>
              <w:rPr>
                <w:rFonts w:cs="Times New Roman"/>
                <w:lang w:val="hr-HR"/>
              </w:rPr>
            </w:pPr>
            <w:r w:rsidRPr="00CA055E">
              <w:rPr>
                <w:rFonts w:cs="Times New Roman"/>
                <w:lang w:val="hr-HR"/>
              </w:rPr>
              <w:t>Povećanje broja prijava industrijskog vlasništva  domaćih prijavitelja u europskim postupcima</w:t>
            </w:r>
          </w:p>
        </w:tc>
        <w:tc>
          <w:tcPr>
            <w:tcW w:w="2181" w:type="dxa"/>
          </w:tcPr>
          <w:p w14:paraId="732C474A" w14:textId="08E88D71" w:rsidR="00CA055E" w:rsidRPr="00CA055E" w:rsidRDefault="00CA055E" w:rsidP="00CA055E">
            <w:pPr>
              <w:pStyle w:val="CellColumn"/>
              <w:jc w:val="left"/>
              <w:rPr>
                <w:rFonts w:cs="Times New Roman"/>
                <w:lang w:val="hr-HR"/>
              </w:rPr>
            </w:pPr>
            <w:r w:rsidRPr="00CA055E">
              <w:rPr>
                <w:rFonts w:cs="Times New Roman"/>
                <w:lang w:val="hr-HR"/>
              </w:rPr>
              <w:t>Ukupni broj nacionalnih prijavitelja (prijavitelji iz RH)  industrijskog vlasništva  pri Europskoj patentnoj organizaciji (EPO) i pri Uredu Europske unije za intelektualno vlasništvo  (EUIPO)</w:t>
            </w:r>
          </w:p>
        </w:tc>
        <w:tc>
          <w:tcPr>
            <w:tcW w:w="1025" w:type="dxa"/>
          </w:tcPr>
          <w:p w14:paraId="04B7C4CB" w14:textId="201305AD" w:rsidR="00CA055E" w:rsidRPr="00CA055E" w:rsidRDefault="00CA055E" w:rsidP="00CA055E">
            <w:pPr>
              <w:rPr>
                <w:rFonts w:cs="Times New Roman"/>
              </w:rPr>
            </w:pPr>
            <w:r w:rsidRPr="00CA055E">
              <w:rPr>
                <w:rFonts w:cs="Times New Roman"/>
              </w:rPr>
              <w:t>%</w:t>
            </w:r>
          </w:p>
        </w:tc>
        <w:tc>
          <w:tcPr>
            <w:tcW w:w="1103" w:type="dxa"/>
          </w:tcPr>
          <w:p w14:paraId="56362497" w14:textId="77777777" w:rsidR="00CA055E" w:rsidRPr="00CA055E" w:rsidRDefault="00CA055E" w:rsidP="00CA055E">
            <w:pPr>
              <w:rPr>
                <w:rFonts w:cs="Times New Roman"/>
              </w:rPr>
            </w:pPr>
            <w:r w:rsidRPr="00CA055E">
              <w:rPr>
                <w:rFonts w:cs="Times New Roman"/>
              </w:rPr>
              <w:t>577</w:t>
            </w:r>
          </w:p>
          <w:p w14:paraId="19054A3C" w14:textId="102FA6D3" w:rsidR="00CA055E" w:rsidRPr="00CA055E" w:rsidRDefault="00CA055E" w:rsidP="00CA055E">
            <w:pPr>
              <w:rPr>
                <w:rFonts w:cs="Times New Roman"/>
              </w:rPr>
            </w:pPr>
            <w:r w:rsidRPr="00CA055E">
              <w:rPr>
                <w:rFonts w:cs="Times New Roman"/>
              </w:rPr>
              <w:t>(2023)</w:t>
            </w:r>
          </w:p>
        </w:tc>
        <w:tc>
          <w:tcPr>
            <w:tcW w:w="981" w:type="dxa"/>
          </w:tcPr>
          <w:p w14:paraId="7AFD92E5" w14:textId="22BA8099" w:rsidR="00CA055E" w:rsidRPr="00CA055E" w:rsidRDefault="00CA055E" w:rsidP="00CA055E">
            <w:pPr>
              <w:pStyle w:val="CellColumn"/>
              <w:jc w:val="center"/>
              <w:rPr>
                <w:rFonts w:cs="Times New Roman"/>
                <w:lang w:val="hr-HR"/>
              </w:rPr>
            </w:pPr>
            <w:r w:rsidRPr="00CA055E">
              <w:rPr>
                <w:rFonts w:cs="Times New Roman"/>
                <w:lang w:val="hr-HR"/>
              </w:rPr>
              <w:t>DZIV</w:t>
            </w:r>
          </w:p>
        </w:tc>
        <w:tc>
          <w:tcPr>
            <w:tcW w:w="918" w:type="dxa"/>
          </w:tcPr>
          <w:p w14:paraId="6CF956BF" w14:textId="51F8637C" w:rsidR="00CA055E" w:rsidRPr="00CA055E" w:rsidRDefault="00CA055E" w:rsidP="00CA055E">
            <w:pPr>
              <w:rPr>
                <w:rFonts w:cs="Times New Roman"/>
              </w:rPr>
            </w:pPr>
            <w:r w:rsidRPr="00B61107">
              <w:rPr>
                <w:rFonts w:cs="Times New Roman"/>
              </w:rPr>
              <w:t>7%</w:t>
            </w:r>
          </w:p>
        </w:tc>
        <w:tc>
          <w:tcPr>
            <w:tcW w:w="918" w:type="dxa"/>
          </w:tcPr>
          <w:p w14:paraId="3481CB75" w14:textId="410D7300" w:rsidR="00CA055E" w:rsidRPr="00CA055E" w:rsidRDefault="00CA055E" w:rsidP="00CA055E">
            <w:pPr>
              <w:rPr>
                <w:rFonts w:cs="Times New Roman"/>
              </w:rPr>
            </w:pPr>
            <w:r w:rsidRPr="00B61107">
              <w:rPr>
                <w:rFonts w:cs="Times New Roman"/>
                <w:szCs w:val="20"/>
              </w:rPr>
              <w:t>9%</w:t>
            </w:r>
          </w:p>
        </w:tc>
        <w:tc>
          <w:tcPr>
            <w:tcW w:w="918" w:type="dxa"/>
          </w:tcPr>
          <w:p w14:paraId="72671AE5" w14:textId="3C019081" w:rsidR="00CA055E" w:rsidRPr="00CA055E" w:rsidRDefault="00CA055E" w:rsidP="00CA055E">
            <w:pPr>
              <w:rPr>
                <w:rFonts w:cs="Times New Roman"/>
                <w:szCs w:val="20"/>
              </w:rPr>
            </w:pPr>
            <w:r w:rsidRPr="00B61107">
              <w:rPr>
                <w:rFonts w:cs="Times New Roman"/>
                <w:szCs w:val="20"/>
              </w:rPr>
              <w:t>11</w:t>
            </w:r>
            <w:r w:rsidRPr="00CA055E">
              <w:rPr>
                <w:rFonts w:cs="Times New Roman"/>
                <w:szCs w:val="20"/>
              </w:rPr>
              <w:t>%</w:t>
            </w:r>
          </w:p>
        </w:tc>
      </w:tr>
      <w:tr w:rsidR="00CA055E" w:rsidRPr="00D9315B" w14:paraId="180024A4" w14:textId="77777777" w:rsidTr="006357A5">
        <w:trPr>
          <w:jc w:val="center"/>
        </w:trPr>
        <w:tc>
          <w:tcPr>
            <w:tcW w:w="2162" w:type="dxa"/>
          </w:tcPr>
          <w:p w14:paraId="5039AEF5" w14:textId="7BCA305F" w:rsidR="00CA055E" w:rsidRPr="0039612E" w:rsidRDefault="00CA055E" w:rsidP="00CA055E">
            <w:pPr>
              <w:pStyle w:val="CellColumn"/>
              <w:jc w:val="left"/>
              <w:rPr>
                <w:rFonts w:cs="Times New Roman"/>
                <w:lang w:val="hr-HR"/>
              </w:rPr>
            </w:pPr>
            <w:r w:rsidRPr="0039612E">
              <w:rPr>
                <w:rFonts w:cs="Times New Roman"/>
                <w:lang w:val="hr-HR"/>
              </w:rPr>
              <w:lastRenderedPageBreak/>
              <w:t>Povećanje vrijednosti Globalnog inovacijskog indeksa Hrvatske u kategorijama rezultata inovacijskih i kreativnih  djelatnosti koji uključuju prava intelektualnog vlasništva (zbroj vrijednosti parametara)</w:t>
            </w:r>
          </w:p>
        </w:tc>
        <w:tc>
          <w:tcPr>
            <w:tcW w:w="2181" w:type="dxa"/>
          </w:tcPr>
          <w:p w14:paraId="3D7350F3" w14:textId="231BD81B" w:rsidR="00CA055E" w:rsidRPr="0039612E" w:rsidRDefault="00CA055E" w:rsidP="00CA055E">
            <w:pPr>
              <w:pStyle w:val="CellColumn"/>
              <w:jc w:val="left"/>
              <w:rPr>
                <w:rFonts w:cs="Times New Roman"/>
                <w:lang w:val="hr-HR"/>
              </w:rPr>
            </w:pPr>
            <w:r w:rsidRPr="0039612E">
              <w:rPr>
                <w:rFonts w:cs="Times New Roman"/>
                <w:lang w:val="hr-HR"/>
              </w:rPr>
              <w:t>Ukupno</w:t>
            </w:r>
            <w:r w:rsidR="00AD498C">
              <w:rPr>
                <w:rFonts w:cs="Times New Roman"/>
                <w:lang w:val="hr-HR"/>
              </w:rPr>
              <w:t>:</w:t>
            </w:r>
            <w:r w:rsidRPr="0039612E">
              <w:rPr>
                <w:rFonts w:cs="Times New Roman"/>
                <w:lang w:val="hr-HR"/>
              </w:rPr>
              <w:t xml:space="preserve"> rezultati u području znanja i tehnologije (</w:t>
            </w:r>
            <w:proofErr w:type="spellStart"/>
            <w:r w:rsidRPr="0039612E">
              <w:rPr>
                <w:rFonts w:cs="Times New Roman"/>
                <w:lang w:val="hr-HR"/>
              </w:rPr>
              <w:t>Knowledge</w:t>
            </w:r>
            <w:proofErr w:type="spellEnd"/>
            <w:r w:rsidRPr="0039612E">
              <w:rPr>
                <w:rFonts w:cs="Times New Roman"/>
                <w:lang w:val="hr-HR"/>
              </w:rPr>
              <w:t xml:space="preserve"> </w:t>
            </w:r>
            <w:proofErr w:type="spellStart"/>
            <w:r w:rsidRPr="0039612E">
              <w:rPr>
                <w:rFonts w:cs="Times New Roman"/>
                <w:lang w:val="hr-HR"/>
              </w:rPr>
              <w:t>and</w:t>
            </w:r>
            <w:proofErr w:type="spellEnd"/>
            <w:r w:rsidRPr="0039612E">
              <w:rPr>
                <w:rFonts w:cs="Times New Roman"/>
                <w:lang w:val="hr-HR"/>
              </w:rPr>
              <w:t xml:space="preserve"> </w:t>
            </w:r>
            <w:proofErr w:type="spellStart"/>
            <w:r w:rsidRPr="0039612E">
              <w:rPr>
                <w:rFonts w:cs="Times New Roman"/>
                <w:lang w:val="hr-HR"/>
              </w:rPr>
              <w:t>technology</w:t>
            </w:r>
            <w:proofErr w:type="spellEnd"/>
            <w:r w:rsidRPr="0039612E">
              <w:rPr>
                <w:rFonts w:cs="Times New Roman"/>
                <w:lang w:val="hr-HR"/>
              </w:rPr>
              <w:t xml:space="preserve"> </w:t>
            </w:r>
            <w:proofErr w:type="spellStart"/>
            <w:r w:rsidRPr="0039612E">
              <w:rPr>
                <w:rFonts w:cs="Times New Roman"/>
                <w:lang w:val="hr-HR"/>
              </w:rPr>
              <w:t>outputs</w:t>
            </w:r>
            <w:proofErr w:type="spellEnd"/>
            <w:r w:rsidRPr="0039612E">
              <w:rPr>
                <w:rFonts w:cs="Times New Roman"/>
                <w:lang w:val="hr-HR"/>
              </w:rPr>
              <w:t>) + rezultati u području kreativnih djelatnosti (</w:t>
            </w:r>
            <w:proofErr w:type="spellStart"/>
            <w:r w:rsidRPr="0039612E">
              <w:rPr>
                <w:rFonts w:cs="Times New Roman"/>
                <w:lang w:val="hr-HR"/>
              </w:rPr>
              <w:t>Cretaive</w:t>
            </w:r>
            <w:proofErr w:type="spellEnd"/>
            <w:r w:rsidRPr="0039612E">
              <w:rPr>
                <w:rFonts w:cs="Times New Roman"/>
                <w:lang w:val="hr-HR"/>
              </w:rPr>
              <w:t xml:space="preserve"> </w:t>
            </w:r>
            <w:proofErr w:type="spellStart"/>
            <w:r w:rsidRPr="0039612E">
              <w:rPr>
                <w:rFonts w:cs="Times New Roman"/>
                <w:lang w:val="hr-HR"/>
              </w:rPr>
              <w:t>outputs</w:t>
            </w:r>
            <w:proofErr w:type="spellEnd"/>
            <w:r w:rsidRPr="0039612E">
              <w:rPr>
                <w:rFonts w:cs="Times New Roman"/>
                <w:lang w:val="hr-HR"/>
              </w:rPr>
              <w:t>)</w:t>
            </w:r>
          </w:p>
        </w:tc>
        <w:tc>
          <w:tcPr>
            <w:tcW w:w="1025" w:type="dxa"/>
          </w:tcPr>
          <w:p w14:paraId="0BF55552" w14:textId="30928365" w:rsidR="00CA055E" w:rsidRPr="0039612E" w:rsidRDefault="00CA055E" w:rsidP="00CA055E">
            <w:pPr>
              <w:rPr>
                <w:rFonts w:cs="Times New Roman"/>
              </w:rPr>
            </w:pPr>
            <w:r w:rsidRPr="0039612E">
              <w:rPr>
                <w:rFonts w:cs="Times New Roman"/>
              </w:rPr>
              <w:t xml:space="preserve">Vrijednost </w:t>
            </w:r>
            <w:r w:rsidRPr="0039612E">
              <w:rPr>
                <w:rFonts w:cs="Times New Roman"/>
                <w:szCs w:val="20"/>
              </w:rPr>
              <w:t xml:space="preserve"> </w:t>
            </w:r>
            <w:r w:rsidRPr="0039612E">
              <w:rPr>
                <w:rFonts w:cs="Times New Roman"/>
              </w:rPr>
              <w:t>pokazatelja</w:t>
            </w:r>
          </w:p>
        </w:tc>
        <w:tc>
          <w:tcPr>
            <w:tcW w:w="1103" w:type="dxa"/>
            <w:shd w:val="clear" w:color="auto" w:fill="auto"/>
          </w:tcPr>
          <w:p w14:paraId="5DD6D280" w14:textId="7AC08FF9" w:rsidR="00CA055E" w:rsidRPr="0039612E" w:rsidRDefault="00AD498C" w:rsidP="00CA055E">
            <w:pPr>
              <w:rPr>
                <w:rFonts w:cs="Times New Roman"/>
              </w:rPr>
            </w:pPr>
            <w:r>
              <w:rPr>
                <w:rFonts w:cs="Times New Roman"/>
                <w:szCs w:val="20"/>
              </w:rPr>
              <w:t>62,4</w:t>
            </w:r>
            <w:r w:rsidR="00CA055E" w:rsidRPr="0039612E">
              <w:rPr>
                <w:rFonts w:cs="Times New Roman"/>
              </w:rPr>
              <w:t xml:space="preserve"> (</w:t>
            </w:r>
            <w:proofErr w:type="spellStart"/>
            <w:r w:rsidR="00CA055E" w:rsidRPr="0039612E">
              <w:rPr>
                <w:rFonts w:cs="Times New Roman"/>
              </w:rPr>
              <w:t>Knowledge</w:t>
            </w:r>
            <w:proofErr w:type="spellEnd"/>
            <w:r w:rsidR="00CA055E" w:rsidRPr="0039612E">
              <w:rPr>
                <w:rFonts w:cs="Times New Roman"/>
              </w:rPr>
              <w:t xml:space="preserve"> </w:t>
            </w:r>
            <w:proofErr w:type="spellStart"/>
            <w:r w:rsidR="00CA055E" w:rsidRPr="0039612E">
              <w:rPr>
                <w:rFonts w:cs="Times New Roman"/>
              </w:rPr>
              <w:t>and</w:t>
            </w:r>
            <w:proofErr w:type="spellEnd"/>
            <w:r w:rsidR="00CA055E" w:rsidRPr="0039612E">
              <w:rPr>
                <w:rFonts w:cs="Times New Roman"/>
              </w:rPr>
              <w:t xml:space="preserve"> </w:t>
            </w:r>
            <w:proofErr w:type="spellStart"/>
            <w:r w:rsidR="00CA055E" w:rsidRPr="0039612E">
              <w:rPr>
                <w:rFonts w:cs="Times New Roman"/>
              </w:rPr>
              <w:t>technology</w:t>
            </w:r>
            <w:proofErr w:type="spellEnd"/>
            <w:r w:rsidR="00CA055E" w:rsidRPr="0039612E">
              <w:rPr>
                <w:rFonts w:cs="Times New Roman"/>
              </w:rPr>
              <w:t xml:space="preserve"> </w:t>
            </w:r>
            <w:proofErr w:type="spellStart"/>
            <w:r w:rsidR="00CA055E" w:rsidRPr="0039612E">
              <w:rPr>
                <w:rFonts w:cs="Times New Roman"/>
              </w:rPr>
              <w:t>outputs</w:t>
            </w:r>
            <w:proofErr w:type="spellEnd"/>
            <w:r w:rsidR="00CA055E" w:rsidRPr="0039612E">
              <w:rPr>
                <w:rFonts w:cs="Times New Roman"/>
              </w:rPr>
              <w:t xml:space="preserve"> 3</w:t>
            </w:r>
            <w:r w:rsidR="00CA055E" w:rsidRPr="00B61107">
              <w:rPr>
                <w:rFonts w:cs="Times New Roman"/>
              </w:rPr>
              <w:t>0</w:t>
            </w:r>
            <w:r w:rsidR="00CA055E" w:rsidRPr="0039612E">
              <w:rPr>
                <w:rFonts w:cs="Times New Roman"/>
              </w:rPr>
              <w:t xml:space="preserve">,3; Creative </w:t>
            </w:r>
            <w:proofErr w:type="spellStart"/>
            <w:r w:rsidR="00CA055E" w:rsidRPr="0039612E">
              <w:rPr>
                <w:rFonts w:cs="Times New Roman"/>
              </w:rPr>
              <w:t>outputs</w:t>
            </w:r>
            <w:proofErr w:type="spellEnd"/>
            <w:r w:rsidR="00CA055E" w:rsidRPr="0039612E">
              <w:rPr>
                <w:rFonts w:cs="Times New Roman"/>
              </w:rPr>
              <w:t xml:space="preserve"> </w:t>
            </w:r>
            <w:r w:rsidR="00CA055E" w:rsidRPr="0039612E">
              <w:rPr>
                <w:rFonts w:cs="Times New Roman"/>
                <w:szCs w:val="20"/>
              </w:rPr>
              <w:t>3</w:t>
            </w:r>
            <w:r w:rsidR="00CA055E" w:rsidRPr="00B61107">
              <w:rPr>
                <w:rFonts w:cs="Times New Roman"/>
                <w:szCs w:val="20"/>
              </w:rPr>
              <w:t>2</w:t>
            </w:r>
            <w:r w:rsidR="00CA055E" w:rsidRPr="0039612E">
              <w:rPr>
                <w:rFonts w:cs="Times New Roman"/>
                <w:szCs w:val="20"/>
              </w:rPr>
              <w:t>,</w:t>
            </w:r>
            <w:r w:rsidR="00CA055E" w:rsidRPr="00B61107">
              <w:rPr>
                <w:rFonts w:cs="Times New Roman"/>
                <w:szCs w:val="20"/>
              </w:rPr>
              <w:t>1</w:t>
            </w:r>
            <w:r w:rsidR="00CA055E" w:rsidRPr="0039612E">
              <w:rPr>
                <w:rFonts w:cs="Times New Roman"/>
                <w:szCs w:val="20"/>
              </w:rPr>
              <w:t>)</w:t>
            </w:r>
          </w:p>
          <w:p w14:paraId="15565CAF" w14:textId="5F0E862F" w:rsidR="00CA055E" w:rsidRPr="0039612E" w:rsidRDefault="00CA055E" w:rsidP="00CA055E">
            <w:pPr>
              <w:rPr>
                <w:rFonts w:cs="Times New Roman"/>
              </w:rPr>
            </w:pPr>
            <w:r w:rsidRPr="0039612E">
              <w:rPr>
                <w:rFonts w:cs="Times New Roman"/>
              </w:rPr>
              <w:t>(</w:t>
            </w:r>
            <w:r w:rsidRPr="0039612E">
              <w:rPr>
                <w:rFonts w:cs="Times New Roman"/>
                <w:szCs w:val="20"/>
              </w:rPr>
              <w:t>202</w:t>
            </w:r>
            <w:r w:rsidRPr="00B61107">
              <w:rPr>
                <w:rFonts w:cs="Times New Roman"/>
                <w:szCs w:val="20"/>
              </w:rPr>
              <w:t>5</w:t>
            </w:r>
            <w:r w:rsidRPr="0039612E">
              <w:rPr>
                <w:rFonts w:cs="Times New Roman"/>
              </w:rPr>
              <w:t>.)</w:t>
            </w:r>
          </w:p>
        </w:tc>
        <w:tc>
          <w:tcPr>
            <w:tcW w:w="981" w:type="dxa"/>
          </w:tcPr>
          <w:p w14:paraId="2D2E536F" w14:textId="77777777" w:rsidR="00CA055E" w:rsidRPr="0039612E" w:rsidRDefault="00CA055E" w:rsidP="00CA055E">
            <w:pPr>
              <w:pStyle w:val="CellColumn"/>
              <w:jc w:val="center"/>
              <w:rPr>
                <w:rFonts w:cs="Times New Roman"/>
                <w:lang w:val="hr-HR"/>
              </w:rPr>
            </w:pPr>
            <w:r w:rsidRPr="0039612E">
              <w:rPr>
                <w:rFonts w:cs="Times New Roman"/>
                <w:lang w:val="hr-HR"/>
              </w:rPr>
              <w:t xml:space="preserve">WIPO Global </w:t>
            </w:r>
            <w:proofErr w:type="spellStart"/>
            <w:r w:rsidRPr="0039612E">
              <w:rPr>
                <w:rFonts w:cs="Times New Roman"/>
                <w:lang w:val="hr-HR"/>
              </w:rPr>
              <w:t>Innovation</w:t>
            </w:r>
            <w:proofErr w:type="spellEnd"/>
            <w:r w:rsidRPr="0039612E">
              <w:rPr>
                <w:rFonts w:cs="Times New Roman"/>
                <w:lang w:val="hr-HR"/>
              </w:rPr>
              <w:t xml:space="preserve"> Index</w:t>
            </w:r>
          </w:p>
        </w:tc>
        <w:tc>
          <w:tcPr>
            <w:tcW w:w="918" w:type="dxa"/>
          </w:tcPr>
          <w:p w14:paraId="65438318" w14:textId="61E70C21" w:rsidR="00CA055E" w:rsidRPr="0039612E" w:rsidRDefault="00CA055E" w:rsidP="00CA055E">
            <w:pPr>
              <w:spacing w:after="160" w:line="259" w:lineRule="auto"/>
              <w:jc w:val="left"/>
              <w:rPr>
                <w:rFonts w:cs="Times New Roman"/>
              </w:rPr>
            </w:pPr>
            <w:r w:rsidRPr="0039612E">
              <w:rPr>
                <w:rFonts w:cs="Times New Roman"/>
              </w:rPr>
              <w:t>&gt;62,</w:t>
            </w:r>
            <w:r w:rsidR="00AD498C">
              <w:rPr>
                <w:rFonts w:cs="Times New Roman"/>
              </w:rPr>
              <w:t>4</w:t>
            </w:r>
          </w:p>
        </w:tc>
        <w:tc>
          <w:tcPr>
            <w:tcW w:w="918" w:type="dxa"/>
          </w:tcPr>
          <w:p w14:paraId="6A090B47" w14:textId="77C9389C" w:rsidR="00CA055E" w:rsidRPr="0039612E" w:rsidRDefault="00CA055E" w:rsidP="00CA055E">
            <w:pPr>
              <w:spacing w:after="160" w:line="259" w:lineRule="auto"/>
              <w:jc w:val="left"/>
              <w:rPr>
                <w:rFonts w:cs="Times New Roman"/>
              </w:rPr>
            </w:pPr>
            <w:r w:rsidRPr="0039612E">
              <w:rPr>
                <w:rFonts w:cs="Times New Roman"/>
              </w:rPr>
              <w:t>&gt;62,</w:t>
            </w:r>
            <w:r w:rsidR="00AD498C">
              <w:rPr>
                <w:rFonts w:cs="Times New Roman"/>
              </w:rPr>
              <w:t>4</w:t>
            </w:r>
          </w:p>
        </w:tc>
        <w:tc>
          <w:tcPr>
            <w:tcW w:w="918" w:type="dxa"/>
          </w:tcPr>
          <w:p w14:paraId="7802A1A5" w14:textId="7D8DA4B7" w:rsidR="00CA055E" w:rsidRPr="0039612E" w:rsidRDefault="00CA055E" w:rsidP="00CA055E">
            <w:pPr>
              <w:spacing w:after="160" w:line="259" w:lineRule="auto"/>
              <w:jc w:val="left"/>
              <w:rPr>
                <w:rFonts w:cs="Times New Roman"/>
              </w:rPr>
            </w:pPr>
            <w:r w:rsidRPr="0039612E">
              <w:rPr>
                <w:rFonts w:cs="Times New Roman"/>
              </w:rPr>
              <w:t>&gt;62,</w:t>
            </w:r>
            <w:r w:rsidR="00AD498C">
              <w:rPr>
                <w:rFonts w:cs="Times New Roman"/>
              </w:rPr>
              <w:t>4</w:t>
            </w:r>
          </w:p>
        </w:tc>
      </w:tr>
    </w:tbl>
    <w:p w14:paraId="588A580E" w14:textId="77777777" w:rsidR="00BB70BF" w:rsidRPr="00D9315B" w:rsidRDefault="00BB70BF" w:rsidP="007F610C">
      <w:pPr>
        <w:jc w:val="both"/>
        <w:rPr>
          <w:rFonts w:ascii="Times New Roman" w:hAnsi="Times New Roman" w:cs="Times New Roman"/>
          <w:highlight w:val="yellow"/>
        </w:rPr>
      </w:pPr>
    </w:p>
    <w:p w14:paraId="4E60FEEE" w14:textId="77777777" w:rsidR="00BB70BF" w:rsidRPr="00B61107" w:rsidRDefault="00BB70BF" w:rsidP="007F610C">
      <w:pPr>
        <w:pStyle w:val="Heading3"/>
        <w:rPr>
          <w:rFonts w:cs="Times New Roman"/>
          <w:lang w:val="hr-HR"/>
        </w:rPr>
      </w:pPr>
      <w:r w:rsidRPr="007B38B2">
        <w:rPr>
          <w:rFonts w:cs="Times New Roman"/>
          <w:lang w:val="hr-HR"/>
        </w:rPr>
        <w:t>A763000 ADMINISTRACIJA I UPRAVLJANJE DRŽAVNOG ZAVODA ZA INTELEKTUALNO VLASNIŠTVO</w:t>
      </w:r>
    </w:p>
    <w:p w14:paraId="49C3DAD8" w14:textId="77777777" w:rsidR="00021B5C" w:rsidRPr="00D9315B" w:rsidRDefault="00021B5C" w:rsidP="00F815A6">
      <w:pPr>
        <w:jc w:val="both"/>
        <w:rPr>
          <w:rFonts w:ascii="Times New Roman" w:hAnsi="Times New Roman" w:cs="Times New Roman"/>
          <w:highlight w:val="yellow"/>
        </w:rPr>
      </w:pPr>
    </w:p>
    <w:p w14:paraId="7A20D53C" w14:textId="77777777" w:rsidR="00BB70BF" w:rsidRPr="007B38B2" w:rsidRDefault="00BB70BF" w:rsidP="007F61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8B2">
        <w:rPr>
          <w:rFonts w:ascii="Times New Roman" w:hAnsi="Times New Roman" w:cs="Times New Roman"/>
          <w:b/>
          <w:sz w:val="24"/>
          <w:szCs w:val="24"/>
        </w:rPr>
        <w:t>Zakonske i druge pravne osnove</w:t>
      </w:r>
    </w:p>
    <w:p w14:paraId="79AF5BB2" w14:textId="77777777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Zakon o ustrojstvu i djelokrugu ministarstava i drugih središnjih tijela državne uprave,</w:t>
      </w:r>
    </w:p>
    <w:p w14:paraId="575DA397" w14:textId="0C59E8AD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Zakon o patentu,</w:t>
      </w:r>
    </w:p>
    <w:p w14:paraId="3E59AF4C" w14:textId="703FE4F3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Zakon o žigu, </w:t>
      </w:r>
    </w:p>
    <w:p w14:paraId="11A6CF7A" w14:textId="77777777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Zakon o oznakama zemljopisnog podrijetla i oznakama izvornosti proizvoda i usluga,</w:t>
      </w:r>
    </w:p>
    <w:p w14:paraId="47723F21" w14:textId="5E3F2FA4" w:rsidR="00513E91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Zakon o zaštiti topografija poluvodičkih proizvoda,</w:t>
      </w:r>
    </w:p>
    <w:p w14:paraId="04ECBD98" w14:textId="3913A00A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Zakon o industrijskom dizajnu,</w:t>
      </w:r>
    </w:p>
    <w:p w14:paraId="09321337" w14:textId="40EF63F8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Zakon o autorskom pravu i srodnim pravima,</w:t>
      </w:r>
    </w:p>
    <w:p w14:paraId="6117D1C9" w14:textId="3ADAEDBF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Zakon o zaštiti neobjavljenih informacija s tržišnom vrijednosti,</w:t>
      </w:r>
    </w:p>
    <w:p w14:paraId="1E2C1178" w14:textId="7BDF8B41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Zakon o </w:t>
      </w:r>
      <w:r w:rsidR="00062691" w:rsidRPr="007B38B2">
        <w:rPr>
          <w:rFonts w:ascii="Times New Roman" w:hAnsi="Times New Roman" w:cs="Times New Roman"/>
          <w:sz w:val="24"/>
          <w:szCs w:val="24"/>
        </w:rPr>
        <w:t>naknadama</w:t>
      </w:r>
      <w:r w:rsidRPr="007B38B2">
        <w:rPr>
          <w:rFonts w:ascii="Times New Roman" w:hAnsi="Times New Roman" w:cs="Times New Roman"/>
          <w:sz w:val="24"/>
          <w:szCs w:val="24"/>
        </w:rPr>
        <w:t xml:space="preserve"> u području intelektualnog vlasništva,</w:t>
      </w:r>
    </w:p>
    <w:p w14:paraId="1BA6FBD7" w14:textId="49EE38C5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Uredba o naknadama za posebne troškove i troškove za pružanje informacijskih usluga Državnog zavoda za intelektualno vlasništvo,</w:t>
      </w:r>
    </w:p>
    <w:p w14:paraId="70183960" w14:textId="5304B6A8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Uredba (EZ) br. 469/2009 o svjedodžbi o dodatnoj zaštiti za lijekove,</w:t>
      </w:r>
    </w:p>
    <w:p w14:paraId="6C5E02A5" w14:textId="76E023BE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Uredba (EZ) br. 1610/96 o uvođenju svjedodžbe o dodatnoj zaštiti za sredstva za zaštitu bilja,</w:t>
      </w:r>
    </w:p>
    <w:p w14:paraId="6D986DFF" w14:textId="0FC832A0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Ugovor o suradnji na području patenata (PCT),</w:t>
      </w:r>
    </w:p>
    <w:p w14:paraId="0BC0CBCC" w14:textId="0E4AEEAF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Pravilnik prema Ugovoru o suradnji na području patenata (PCT),</w:t>
      </w:r>
    </w:p>
    <w:p w14:paraId="7E5703D5" w14:textId="6BB358C8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Europska patentna konvencija (EPC 2000), </w:t>
      </w:r>
    </w:p>
    <w:p w14:paraId="6B3B0174" w14:textId="5A61ED1C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Provedbeni pravilnik Europske patentne konvencije,</w:t>
      </w:r>
    </w:p>
    <w:p w14:paraId="51B3C1BD" w14:textId="79D24022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Pravilnik o pristojbama uz Europsku patentnu konvenciju,</w:t>
      </w:r>
    </w:p>
    <w:p w14:paraId="781C6093" w14:textId="11F346F3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Madridski sporazum o međunarodnoj registraciji žigova,</w:t>
      </w:r>
    </w:p>
    <w:p w14:paraId="73B1DD56" w14:textId="3CF58FA6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Protokol koji se odnosi na Madridski sporazum o međunarodnoj registraciji žigova,</w:t>
      </w:r>
    </w:p>
    <w:p w14:paraId="098528DA" w14:textId="3394B610" w:rsidR="00273025" w:rsidRPr="007B38B2" w:rsidRDefault="00BB70BF" w:rsidP="00DB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Zajednički pravilnik uz Madridski sporazum o međunarodnoj registraciji žigova i Protokol koji se odnosi na Madridski sporazum i Izmjene i dopune Zajedničkog pravilnika,</w:t>
      </w:r>
    </w:p>
    <w:p w14:paraId="58A16AC3" w14:textId="2AC9F378" w:rsidR="00BB70BF" w:rsidRPr="007B38B2" w:rsidRDefault="00BB70BF" w:rsidP="007F610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Haški sporazum o međunarodnoj registraciji industrijskog dizajna te Ženevski Akt Haškog sporazuma, Zajednički pravilnik prema Aktu Haškoga sporazuma iz 1999., 1960. i 1934. godine.</w:t>
      </w:r>
    </w:p>
    <w:p w14:paraId="547CE95E" w14:textId="77777777" w:rsidR="00631017" w:rsidRPr="00B61107" w:rsidRDefault="00631017" w:rsidP="00631017">
      <w:pPr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09"/>
        <w:gridCol w:w="1607"/>
        <w:gridCol w:w="1598"/>
        <w:gridCol w:w="1598"/>
        <w:gridCol w:w="1598"/>
        <w:gridCol w:w="1598"/>
        <w:gridCol w:w="698"/>
      </w:tblGrid>
      <w:tr w:rsidR="00F114B2" w:rsidRPr="00D9315B" w14:paraId="47A1C7B4" w14:textId="77777777" w:rsidTr="004A3D7D">
        <w:trPr>
          <w:jc w:val="center"/>
        </w:trPr>
        <w:tc>
          <w:tcPr>
            <w:tcW w:w="1509" w:type="dxa"/>
            <w:shd w:val="clear" w:color="auto" w:fill="B5C0D8"/>
          </w:tcPr>
          <w:p w14:paraId="5711A180" w14:textId="77777777" w:rsidR="00F114B2" w:rsidRPr="00D9315B" w:rsidRDefault="00F114B2" w:rsidP="00F114B2">
            <w:pPr>
              <w:jc w:val="both"/>
              <w:rPr>
                <w:rFonts w:cs="Times New Roman"/>
                <w:szCs w:val="20"/>
                <w:highlight w:val="yellow"/>
              </w:rPr>
            </w:pPr>
          </w:p>
          <w:p w14:paraId="4389A05E" w14:textId="2DFC024D" w:rsidR="00F114B2" w:rsidRPr="00D9315B" w:rsidRDefault="00F114B2" w:rsidP="00F114B2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607" w:type="dxa"/>
            <w:shd w:val="clear" w:color="auto" w:fill="B5C0D8"/>
          </w:tcPr>
          <w:p w14:paraId="11DA14B6" w14:textId="4B3E9F5A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Izvršenje 2024.</w:t>
            </w:r>
          </w:p>
        </w:tc>
        <w:tc>
          <w:tcPr>
            <w:tcW w:w="1598" w:type="dxa"/>
            <w:shd w:val="clear" w:color="auto" w:fill="B5C0D8"/>
          </w:tcPr>
          <w:p w14:paraId="7659466E" w14:textId="3C741736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Plan 2025.</w:t>
            </w:r>
          </w:p>
        </w:tc>
        <w:tc>
          <w:tcPr>
            <w:tcW w:w="1598" w:type="dxa"/>
            <w:shd w:val="clear" w:color="auto" w:fill="B5C0D8"/>
          </w:tcPr>
          <w:p w14:paraId="59EFF2A1" w14:textId="4CAB5273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Plan 2026.</w:t>
            </w:r>
          </w:p>
        </w:tc>
        <w:tc>
          <w:tcPr>
            <w:tcW w:w="1598" w:type="dxa"/>
            <w:shd w:val="clear" w:color="auto" w:fill="B5C0D8"/>
          </w:tcPr>
          <w:p w14:paraId="653BF050" w14:textId="6386EBD4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Plan 2027.</w:t>
            </w:r>
          </w:p>
        </w:tc>
        <w:tc>
          <w:tcPr>
            <w:tcW w:w="1598" w:type="dxa"/>
            <w:shd w:val="clear" w:color="auto" w:fill="B5C0D8"/>
          </w:tcPr>
          <w:p w14:paraId="477F277F" w14:textId="4A120CFD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Plan 2028.</w:t>
            </w:r>
          </w:p>
        </w:tc>
        <w:tc>
          <w:tcPr>
            <w:tcW w:w="698" w:type="dxa"/>
            <w:shd w:val="clear" w:color="auto" w:fill="B5C0D8"/>
          </w:tcPr>
          <w:p w14:paraId="741B0555" w14:textId="3189321C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Indeks 26./25.</w:t>
            </w:r>
          </w:p>
        </w:tc>
      </w:tr>
      <w:tr w:rsidR="007F610C" w:rsidRPr="00D9315B" w14:paraId="19B2A242" w14:textId="77777777" w:rsidTr="004A3D7D">
        <w:trPr>
          <w:jc w:val="center"/>
        </w:trPr>
        <w:tc>
          <w:tcPr>
            <w:tcW w:w="1509" w:type="dxa"/>
            <w:vAlign w:val="top"/>
          </w:tcPr>
          <w:p w14:paraId="181E1E51" w14:textId="77777777" w:rsidR="00BB70BF" w:rsidRPr="00B61107" w:rsidRDefault="00BB70BF" w:rsidP="007F610C">
            <w:pPr>
              <w:rPr>
                <w:rFonts w:cs="Times New Roman"/>
                <w:highlight w:val="yellow"/>
              </w:rPr>
            </w:pPr>
            <w:r w:rsidRPr="00F114B2">
              <w:rPr>
                <w:rFonts w:cs="Times New Roman"/>
              </w:rPr>
              <w:t>A763000</w:t>
            </w:r>
          </w:p>
        </w:tc>
        <w:tc>
          <w:tcPr>
            <w:tcW w:w="1607" w:type="dxa"/>
            <w:vAlign w:val="top"/>
          </w:tcPr>
          <w:p w14:paraId="567DD7CD" w14:textId="77777777" w:rsidR="00BB70BF" w:rsidRPr="00B61107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598" w:type="dxa"/>
            <w:vAlign w:val="top"/>
          </w:tcPr>
          <w:p w14:paraId="34CCAD2A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598" w:type="dxa"/>
            <w:vAlign w:val="top"/>
          </w:tcPr>
          <w:p w14:paraId="2B1BE7FF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598" w:type="dxa"/>
            <w:vAlign w:val="top"/>
          </w:tcPr>
          <w:p w14:paraId="689FDCE7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598" w:type="dxa"/>
            <w:vAlign w:val="top"/>
          </w:tcPr>
          <w:p w14:paraId="57EA7DC2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698" w:type="dxa"/>
            <w:vAlign w:val="top"/>
          </w:tcPr>
          <w:p w14:paraId="59E74E45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</w:tr>
    </w:tbl>
    <w:p w14:paraId="750774BF" w14:textId="77777777" w:rsidR="00BB70BF" w:rsidRPr="00B61107" w:rsidRDefault="00BB70BF" w:rsidP="007F610C">
      <w:pPr>
        <w:jc w:val="both"/>
        <w:rPr>
          <w:rFonts w:ascii="Times New Roman" w:hAnsi="Times New Roman" w:cs="Times New Roman"/>
          <w:highlight w:val="yellow"/>
        </w:rPr>
      </w:pPr>
    </w:p>
    <w:p w14:paraId="3A16BB1F" w14:textId="393F8ACB" w:rsidR="00BB70BF" w:rsidRPr="007B38B2" w:rsidRDefault="00BB70BF" w:rsidP="007F610C">
      <w:p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Aktivnost Administracija i upravljanje obuhvaća sve redovne poslove i aktivnosti DZIV-a na ostvarenju propisane djelatnosti koja se odnosi na osiguravanje primjerenog sustava zaštite prava intelektualnog vlasništva na teritoriju Republike Hrvatske putem nacionalnog i nadnacionalnih sustava zaštite. Provedbom ove aktivnosti osigurava se:</w:t>
      </w:r>
    </w:p>
    <w:p w14:paraId="1515784B" w14:textId="35C52F59" w:rsidR="00BB70BF" w:rsidRPr="007B38B2" w:rsidRDefault="00BB70BF" w:rsidP="007F61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obavljanje propisanih upravnih i stručnih poslova koji se odnose na razvoj zakonodavnog okvira za zaštitu intelektualnog vlasništva; </w:t>
      </w:r>
    </w:p>
    <w:p w14:paraId="73B49B87" w14:textId="33ABDB9D" w:rsidR="00BB70BF" w:rsidRPr="007B38B2" w:rsidRDefault="00BB70BF" w:rsidP="007F61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provedba postupaka za zaštitu prava industrijskog vlasništva i nadzor nad sustavom kolektivnog ostvarivanja autorskog i srodnih prava; </w:t>
      </w:r>
    </w:p>
    <w:p w14:paraId="72BF726A" w14:textId="341B235E" w:rsidR="00BB70BF" w:rsidRPr="007B38B2" w:rsidRDefault="00BB70BF" w:rsidP="007F61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razvoj i pružanje pratećih javnih stručnih usluga iz područja intelektualnog vlasništva; </w:t>
      </w:r>
    </w:p>
    <w:p w14:paraId="35954DC3" w14:textId="02E8A618" w:rsidR="00BB70BF" w:rsidRPr="007B38B2" w:rsidRDefault="00BB70BF" w:rsidP="007F61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razvoj i održavanje javnih registara i baza podataka iz područja intelektualnog vlasništva te održavanje i razvoj prateće informacijske, podatkovne i mrežne infrastrukture;  </w:t>
      </w:r>
    </w:p>
    <w:p w14:paraId="3BD4F20E" w14:textId="41019C05" w:rsidR="00BB70BF" w:rsidRPr="007B38B2" w:rsidRDefault="00BB70BF" w:rsidP="007F61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razvoj pratećih e-usluga; </w:t>
      </w:r>
    </w:p>
    <w:p w14:paraId="7356D01C" w14:textId="089A0143" w:rsidR="00BB70BF" w:rsidRPr="007B38B2" w:rsidRDefault="00BB70BF" w:rsidP="007F61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razvoj i provedba razmjene podataka s međunarodnim sustavima zaštite intelektualnog vlasništva te uključivanje u zajedničke informacijske sustave; </w:t>
      </w:r>
    </w:p>
    <w:p w14:paraId="647AB7E2" w14:textId="050AB6C4" w:rsidR="00BB70BF" w:rsidRPr="007B38B2" w:rsidRDefault="00BB70BF" w:rsidP="007F61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sudjelovanje u razvoju zakonodavnog i institucionalnog okvira Europske unije u području intelektualnog vlasništva; </w:t>
      </w:r>
    </w:p>
    <w:p w14:paraId="52ED40BA" w14:textId="5FA037DB" w:rsidR="00BB70BF" w:rsidRPr="007B38B2" w:rsidRDefault="00BB70BF" w:rsidP="007F61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obavljanje poslova službene europske i međunarodne suradnje s odgovarajućim državnim institucijama drugih zemalja, kao i odgovarajućim europskim i međunarodnim organizacijama; </w:t>
      </w:r>
    </w:p>
    <w:p w14:paraId="72D9016D" w14:textId="2B1EEA56" w:rsidR="00BB70BF" w:rsidRPr="007B38B2" w:rsidRDefault="00BB70BF" w:rsidP="007F61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poslovi pripreme, zaključivanja i izvršavanje međunarodnih ugovora iz područja intelektualnog vlasništva; </w:t>
      </w:r>
    </w:p>
    <w:p w14:paraId="0A1894FB" w14:textId="0806CB3F" w:rsidR="00BB70BF" w:rsidRPr="007B38B2" w:rsidRDefault="00BB70BF" w:rsidP="007F61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 xml:space="preserve">poslovi vezani uz predstavljanje Republike Hrvatske u europskim i međunarodnim organizacijama i stručnim tijelima iz područja intelektualnog vlasništva; </w:t>
      </w:r>
    </w:p>
    <w:p w14:paraId="6C1827B0" w14:textId="6178E027" w:rsidR="00BB70BF" w:rsidRPr="007B38B2" w:rsidRDefault="00BB70BF" w:rsidP="007F61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ostali poslovi razvoja i unaprjeđenja ukupnog nacionalnog sustava intelektualnog vlasništva.</w:t>
      </w:r>
    </w:p>
    <w:p w14:paraId="75B78837" w14:textId="77777777" w:rsidR="00BB70BF" w:rsidRPr="00D9315B" w:rsidRDefault="00BB70BF" w:rsidP="007F61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A6656B" w14:textId="6C2D4497" w:rsidR="003D5091" w:rsidRPr="0039612E" w:rsidRDefault="00BB70BF" w:rsidP="003D5091">
      <w:pPr>
        <w:jc w:val="both"/>
        <w:rPr>
          <w:rFonts w:ascii="Times New Roman" w:hAnsi="Times New Roman" w:cs="Times New Roman"/>
          <w:sz w:val="24"/>
          <w:szCs w:val="24"/>
        </w:rPr>
      </w:pPr>
      <w:r w:rsidRPr="0039612E">
        <w:rPr>
          <w:rFonts w:ascii="Times New Roman" w:hAnsi="Times New Roman" w:cs="Times New Roman"/>
          <w:sz w:val="24"/>
          <w:szCs w:val="24"/>
        </w:rPr>
        <w:t xml:space="preserve">Od </w:t>
      </w:r>
      <w:r w:rsidR="00DA1C31" w:rsidRPr="0039612E">
        <w:rPr>
          <w:rFonts w:ascii="Times New Roman" w:hAnsi="Times New Roman" w:cs="Times New Roman"/>
          <w:sz w:val="24"/>
          <w:szCs w:val="24"/>
        </w:rPr>
        <w:t xml:space="preserve">ukupnih planiranih rashoda financiranih s izvora 11 za </w:t>
      </w:r>
      <w:r w:rsidR="003D5091" w:rsidRPr="0039612E">
        <w:rPr>
          <w:rFonts w:ascii="Times New Roman" w:hAnsi="Times New Roman" w:cs="Times New Roman"/>
          <w:sz w:val="24"/>
          <w:szCs w:val="24"/>
        </w:rPr>
        <w:t>2025. godinu, 9</w:t>
      </w:r>
      <w:r w:rsidR="0039612E" w:rsidRPr="00B61107">
        <w:rPr>
          <w:rFonts w:ascii="Times New Roman" w:hAnsi="Times New Roman" w:cs="Times New Roman"/>
          <w:sz w:val="24"/>
          <w:szCs w:val="24"/>
        </w:rPr>
        <w:t>5</w:t>
      </w:r>
      <w:r w:rsidR="003D5091" w:rsidRPr="0039612E">
        <w:rPr>
          <w:rFonts w:ascii="Times New Roman" w:hAnsi="Times New Roman" w:cs="Times New Roman"/>
          <w:sz w:val="24"/>
          <w:szCs w:val="24"/>
        </w:rPr>
        <w:t xml:space="preserve">% odnosi se na rashode za zaposlene (skupina 31), </w:t>
      </w:r>
      <w:r w:rsidR="0039612E" w:rsidRPr="00B61107">
        <w:rPr>
          <w:rFonts w:ascii="Times New Roman" w:hAnsi="Times New Roman" w:cs="Times New Roman"/>
          <w:sz w:val="24"/>
          <w:szCs w:val="24"/>
        </w:rPr>
        <w:t>4,7</w:t>
      </w:r>
      <w:r w:rsidR="003D5091" w:rsidRPr="0039612E">
        <w:rPr>
          <w:rFonts w:ascii="Times New Roman" w:hAnsi="Times New Roman" w:cs="Times New Roman"/>
          <w:sz w:val="24"/>
          <w:szCs w:val="24"/>
        </w:rPr>
        <w:t>% na materijalne rashode (skupina 32) te 0,</w:t>
      </w:r>
      <w:r w:rsidR="0039612E" w:rsidRPr="00B61107">
        <w:rPr>
          <w:rFonts w:ascii="Times New Roman" w:hAnsi="Times New Roman" w:cs="Times New Roman"/>
          <w:sz w:val="24"/>
          <w:szCs w:val="24"/>
        </w:rPr>
        <w:t>3</w:t>
      </w:r>
      <w:r w:rsidR="003D5091" w:rsidRPr="0039612E">
        <w:rPr>
          <w:rFonts w:ascii="Times New Roman" w:hAnsi="Times New Roman" w:cs="Times New Roman"/>
          <w:sz w:val="24"/>
          <w:szCs w:val="24"/>
        </w:rPr>
        <w:t xml:space="preserve">% na financijske rashode i na rashode za nabavu nefinancijske imovine (skupina 34 i 42). </w:t>
      </w:r>
    </w:p>
    <w:p w14:paraId="47A7AF0B" w14:textId="184D2717" w:rsidR="00C31659" w:rsidRPr="00B61107" w:rsidRDefault="00C31659" w:rsidP="00C3165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12E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39612E">
        <w:rPr>
          <w:rFonts w:ascii="Times New Roman" w:eastAsia="Times New Roman" w:hAnsi="Times New Roman" w:cs="Times New Roman"/>
          <w:sz w:val="24"/>
          <w:szCs w:val="24"/>
        </w:rPr>
        <w:t>za 202</w:t>
      </w:r>
      <w:r w:rsidR="0039612E" w:rsidRPr="00B6110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961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612E">
        <w:rPr>
          <w:rFonts w:ascii="Times New Roman" w:hAnsi="Times New Roman" w:cs="Times New Roman"/>
          <w:sz w:val="24"/>
          <w:szCs w:val="24"/>
        </w:rPr>
        <w:t xml:space="preserve">godinu planirani su u visini prosječnog bruto (I) iznosa od </w:t>
      </w:r>
      <w:r w:rsidR="003D5091" w:rsidRPr="0039612E">
        <w:rPr>
          <w:rFonts w:ascii="Times New Roman" w:hAnsi="Times New Roman" w:cs="Times New Roman"/>
          <w:sz w:val="24"/>
          <w:szCs w:val="24"/>
        </w:rPr>
        <w:t>2.</w:t>
      </w:r>
      <w:r w:rsidR="0039612E" w:rsidRPr="00B61107">
        <w:rPr>
          <w:rFonts w:ascii="Times New Roman" w:hAnsi="Times New Roman" w:cs="Times New Roman"/>
          <w:sz w:val="24"/>
          <w:szCs w:val="24"/>
        </w:rPr>
        <w:t>546</w:t>
      </w:r>
      <w:r w:rsidRPr="00396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091" w:rsidRPr="0039612E">
        <w:rPr>
          <w:rFonts w:ascii="Times New Roman" w:eastAsia="Times New Roman" w:hAnsi="Times New Roman" w:cs="Times New Roman"/>
          <w:sz w:val="24"/>
          <w:szCs w:val="24"/>
        </w:rPr>
        <w:t>€</w:t>
      </w:r>
      <w:r w:rsidRPr="0039612E">
        <w:rPr>
          <w:rFonts w:ascii="Times New Roman" w:hAnsi="Times New Roman" w:cs="Times New Roman"/>
          <w:sz w:val="24"/>
          <w:szCs w:val="24"/>
        </w:rPr>
        <w:t xml:space="preserve"> za planirani broj od </w:t>
      </w:r>
      <w:r w:rsidR="003D5091" w:rsidRPr="0039612E">
        <w:rPr>
          <w:rFonts w:ascii="Times New Roman" w:hAnsi="Times New Roman" w:cs="Times New Roman"/>
          <w:sz w:val="24"/>
          <w:szCs w:val="24"/>
        </w:rPr>
        <w:t>9</w:t>
      </w:r>
      <w:r w:rsidR="00B35EC8" w:rsidRPr="0039612E">
        <w:rPr>
          <w:rFonts w:ascii="Times New Roman" w:hAnsi="Times New Roman" w:cs="Times New Roman"/>
          <w:sz w:val="24"/>
          <w:szCs w:val="24"/>
        </w:rPr>
        <w:t>1</w:t>
      </w:r>
      <w:r w:rsidRPr="0039612E">
        <w:rPr>
          <w:rFonts w:ascii="Times New Roman" w:hAnsi="Times New Roman" w:cs="Times New Roman"/>
          <w:sz w:val="24"/>
          <w:szCs w:val="24"/>
        </w:rPr>
        <w:t xml:space="preserve"> zaposleni</w:t>
      </w:r>
      <w:r w:rsidR="00B35EC8" w:rsidRPr="0039612E">
        <w:rPr>
          <w:rFonts w:ascii="Times New Roman" w:hAnsi="Times New Roman" w:cs="Times New Roman"/>
          <w:sz w:val="24"/>
          <w:szCs w:val="24"/>
        </w:rPr>
        <w:t>h</w:t>
      </w:r>
      <w:r w:rsidRPr="003961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612E" w:rsidRPr="00B6110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9612E">
        <w:rPr>
          <w:rFonts w:ascii="Times New Roman" w:hAnsi="Times New Roman" w:cs="Times New Roman"/>
          <w:sz w:val="24"/>
          <w:szCs w:val="24"/>
        </w:rPr>
        <w:t xml:space="preserve"> 202</w:t>
      </w:r>
      <w:r w:rsidR="003D5091" w:rsidRPr="0039612E">
        <w:rPr>
          <w:rFonts w:ascii="Times New Roman" w:hAnsi="Times New Roman" w:cs="Times New Roman"/>
          <w:sz w:val="24"/>
          <w:szCs w:val="24"/>
        </w:rPr>
        <w:t>7</w:t>
      </w:r>
      <w:r w:rsidRPr="0039612E">
        <w:rPr>
          <w:rFonts w:ascii="Times New Roman" w:hAnsi="Times New Roman" w:cs="Times New Roman"/>
          <w:sz w:val="24"/>
          <w:szCs w:val="24"/>
        </w:rPr>
        <w:t xml:space="preserve">. </w:t>
      </w:r>
      <w:r w:rsidRPr="0039612E">
        <w:rPr>
          <w:rFonts w:ascii="Times New Roman" w:eastAsia="Times New Roman" w:hAnsi="Times New Roman" w:cs="Times New Roman"/>
          <w:sz w:val="24"/>
          <w:szCs w:val="24"/>
        </w:rPr>
        <w:t>godin</w:t>
      </w:r>
      <w:r w:rsidR="0039612E" w:rsidRPr="00B6110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9612E">
        <w:rPr>
          <w:rFonts w:ascii="Times New Roman" w:eastAsia="Times New Roman" w:hAnsi="Times New Roman" w:cs="Times New Roman"/>
          <w:sz w:val="24"/>
          <w:szCs w:val="24"/>
        </w:rPr>
        <w:t xml:space="preserve"> planiran</w:t>
      </w:r>
      <w:r w:rsidR="003D5091" w:rsidRPr="0039612E">
        <w:rPr>
          <w:rFonts w:ascii="Times New Roman" w:eastAsia="Times New Roman" w:hAnsi="Times New Roman" w:cs="Times New Roman"/>
          <w:sz w:val="24"/>
          <w:szCs w:val="24"/>
        </w:rPr>
        <w:t xml:space="preserve">o je </w:t>
      </w:r>
      <w:r w:rsidR="006D43A6" w:rsidRPr="0039612E">
        <w:rPr>
          <w:rFonts w:ascii="Times New Roman" w:eastAsia="Times New Roman" w:hAnsi="Times New Roman" w:cs="Times New Roman"/>
          <w:sz w:val="24"/>
          <w:szCs w:val="24"/>
        </w:rPr>
        <w:t xml:space="preserve">minimalno </w:t>
      </w:r>
      <w:r w:rsidR="00A054CE">
        <w:rPr>
          <w:rFonts w:ascii="Times New Roman" w:eastAsia="Times New Roman" w:hAnsi="Times New Roman" w:cs="Times New Roman"/>
          <w:sz w:val="24"/>
          <w:szCs w:val="24"/>
        </w:rPr>
        <w:t xml:space="preserve">povećanje broja zaposlenih za </w:t>
      </w:r>
      <w:r w:rsidR="003D5091" w:rsidRPr="0039612E">
        <w:rPr>
          <w:rFonts w:ascii="Times New Roman" w:eastAsia="Times New Roman" w:hAnsi="Times New Roman" w:cs="Times New Roman"/>
          <w:sz w:val="24"/>
          <w:szCs w:val="24"/>
        </w:rPr>
        <w:t xml:space="preserve">jednog novog </w:t>
      </w:r>
      <w:r w:rsidR="00A054CE">
        <w:rPr>
          <w:rFonts w:ascii="Times New Roman" w:eastAsia="Times New Roman" w:hAnsi="Times New Roman" w:cs="Times New Roman"/>
          <w:sz w:val="24"/>
          <w:szCs w:val="24"/>
        </w:rPr>
        <w:t>službenika</w:t>
      </w:r>
      <w:r w:rsidR="0039612E" w:rsidRPr="00B61107">
        <w:rPr>
          <w:rFonts w:ascii="Times New Roman" w:eastAsia="Times New Roman" w:hAnsi="Times New Roman" w:cs="Times New Roman"/>
          <w:sz w:val="24"/>
          <w:szCs w:val="24"/>
        </w:rPr>
        <w:t>, a isto tako i u 2028.</w:t>
      </w:r>
      <w:r w:rsidR="00A05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12E" w:rsidRPr="00B61107">
        <w:rPr>
          <w:rFonts w:ascii="Times New Roman" w:eastAsia="Times New Roman" w:hAnsi="Times New Roman" w:cs="Times New Roman"/>
          <w:sz w:val="24"/>
          <w:szCs w:val="24"/>
        </w:rPr>
        <w:t>godini</w:t>
      </w:r>
      <w:r w:rsidR="003D5091" w:rsidRPr="003961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6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12E">
        <w:rPr>
          <w:rFonts w:ascii="Times New Roman" w:hAnsi="Times New Roman" w:cs="Times New Roman"/>
          <w:sz w:val="24"/>
          <w:szCs w:val="24"/>
        </w:rPr>
        <w:t xml:space="preserve">Rashodi su planirani na temelju </w:t>
      </w:r>
      <w:r w:rsidR="00006F09" w:rsidRPr="0039612E">
        <w:rPr>
          <w:rFonts w:ascii="Times New Roman" w:hAnsi="Times New Roman" w:cs="Times New Roman"/>
          <w:sz w:val="24"/>
          <w:szCs w:val="24"/>
        </w:rPr>
        <w:t xml:space="preserve">razine </w:t>
      </w:r>
      <w:r w:rsidRPr="0039612E">
        <w:rPr>
          <w:rFonts w:ascii="Times New Roman" w:hAnsi="Times New Roman" w:cs="Times New Roman"/>
          <w:sz w:val="24"/>
          <w:szCs w:val="24"/>
        </w:rPr>
        <w:t xml:space="preserve">materijalnih prava državnih službenika i dužnosnika </w:t>
      </w:r>
      <w:r w:rsidRPr="00764D9C">
        <w:rPr>
          <w:rFonts w:ascii="Times New Roman" w:hAnsi="Times New Roman" w:cs="Times New Roman"/>
          <w:sz w:val="24"/>
          <w:szCs w:val="24"/>
        </w:rPr>
        <w:t xml:space="preserve">propisanima aktima na snazi u </w:t>
      </w:r>
      <w:r w:rsidR="006008DD" w:rsidRPr="00764D9C">
        <w:rPr>
          <w:rFonts w:ascii="Times New Roman" w:hAnsi="Times New Roman" w:cs="Times New Roman"/>
          <w:sz w:val="24"/>
          <w:szCs w:val="24"/>
        </w:rPr>
        <w:t>listopadu</w:t>
      </w:r>
      <w:r w:rsidRPr="00764D9C">
        <w:rPr>
          <w:rFonts w:ascii="Times New Roman" w:hAnsi="Times New Roman" w:cs="Times New Roman"/>
          <w:sz w:val="24"/>
          <w:szCs w:val="24"/>
        </w:rPr>
        <w:t xml:space="preserve"> 202</w:t>
      </w:r>
      <w:r w:rsidR="0039612E" w:rsidRPr="00B61107">
        <w:rPr>
          <w:rFonts w:ascii="Times New Roman" w:hAnsi="Times New Roman" w:cs="Times New Roman"/>
          <w:sz w:val="24"/>
          <w:szCs w:val="24"/>
        </w:rPr>
        <w:t>5</w:t>
      </w:r>
      <w:r w:rsidRPr="00764D9C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D378603" w14:textId="0D7151CB" w:rsidR="006E268D" w:rsidRPr="00764D9C" w:rsidRDefault="00BB70BF" w:rsidP="007F61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D9C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A054CE">
        <w:rPr>
          <w:rFonts w:ascii="Times New Roman" w:hAnsi="Times New Roman" w:cs="Times New Roman"/>
          <w:sz w:val="24"/>
          <w:szCs w:val="24"/>
        </w:rPr>
        <w:t>odnose se na</w:t>
      </w:r>
      <w:r w:rsidR="00A054CE" w:rsidRPr="00764D9C">
        <w:rPr>
          <w:rFonts w:ascii="Times New Roman" w:hAnsi="Times New Roman" w:cs="Times New Roman"/>
          <w:sz w:val="24"/>
          <w:szCs w:val="24"/>
        </w:rPr>
        <w:t xml:space="preserve"> </w:t>
      </w:r>
      <w:r w:rsidRPr="00764D9C">
        <w:rPr>
          <w:rFonts w:ascii="Times New Roman" w:hAnsi="Times New Roman" w:cs="Times New Roman"/>
          <w:sz w:val="24"/>
          <w:szCs w:val="24"/>
        </w:rPr>
        <w:t>rashode korištenja usluga i dobara koja se odnose na redovno poslovanje i obavljanje redovne djelatnosti DZIV-a (</w:t>
      </w:r>
      <w:r w:rsidR="006D672E" w:rsidRPr="00764D9C">
        <w:rPr>
          <w:rFonts w:ascii="Times New Roman" w:hAnsi="Times New Roman" w:cs="Times New Roman"/>
          <w:sz w:val="24"/>
          <w:szCs w:val="24"/>
        </w:rPr>
        <w:t xml:space="preserve">troškovi prijevoza zaposlenika na posao i s posla, službena putovanja, </w:t>
      </w:r>
      <w:r w:rsidRPr="00764D9C">
        <w:rPr>
          <w:rFonts w:ascii="Times New Roman" w:hAnsi="Times New Roman" w:cs="Times New Roman"/>
          <w:sz w:val="24"/>
          <w:szCs w:val="24"/>
        </w:rPr>
        <w:t>usluge</w:t>
      </w:r>
      <w:r w:rsidR="000F512B" w:rsidRPr="00764D9C">
        <w:rPr>
          <w:rFonts w:ascii="Times New Roman" w:hAnsi="Times New Roman" w:cs="Times New Roman"/>
          <w:sz w:val="24"/>
          <w:szCs w:val="24"/>
        </w:rPr>
        <w:t xml:space="preserve"> telefona</w:t>
      </w:r>
      <w:r w:rsidRPr="00764D9C">
        <w:rPr>
          <w:rFonts w:ascii="Times New Roman" w:hAnsi="Times New Roman" w:cs="Times New Roman"/>
          <w:sz w:val="24"/>
          <w:szCs w:val="24"/>
        </w:rPr>
        <w:t>, pošt</w:t>
      </w:r>
      <w:r w:rsidR="000F512B" w:rsidRPr="00764D9C">
        <w:rPr>
          <w:rFonts w:ascii="Times New Roman" w:hAnsi="Times New Roman" w:cs="Times New Roman"/>
          <w:sz w:val="24"/>
          <w:szCs w:val="24"/>
        </w:rPr>
        <w:t>e i prijevoza</w:t>
      </w:r>
      <w:r w:rsidRPr="00764D9C">
        <w:rPr>
          <w:rFonts w:ascii="Times New Roman" w:hAnsi="Times New Roman" w:cs="Times New Roman"/>
          <w:sz w:val="24"/>
          <w:szCs w:val="24"/>
        </w:rPr>
        <w:t>,</w:t>
      </w:r>
      <w:r w:rsidR="000F512B" w:rsidRPr="00764D9C">
        <w:rPr>
          <w:rFonts w:ascii="Times New Roman" w:hAnsi="Times New Roman" w:cs="Times New Roman"/>
          <w:sz w:val="24"/>
          <w:szCs w:val="24"/>
        </w:rPr>
        <w:t xml:space="preserve"> </w:t>
      </w:r>
      <w:r w:rsidR="000F512B" w:rsidRPr="00764D9C">
        <w:rPr>
          <w:rFonts w:ascii="Times New Roman" w:hAnsi="Times New Roman" w:cs="Times New Roman"/>
          <w:sz w:val="24"/>
          <w:szCs w:val="24"/>
        </w:rPr>
        <w:lastRenderedPageBreak/>
        <w:t>usluge licenci i računalne usluge,</w:t>
      </w:r>
      <w:r w:rsidRPr="00764D9C">
        <w:rPr>
          <w:rFonts w:ascii="Times New Roman" w:hAnsi="Times New Roman" w:cs="Times New Roman"/>
          <w:sz w:val="24"/>
          <w:szCs w:val="24"/>
        </w:rPr>
        <w:t xml:space="preserve"> </w:t>
      </w:r>
      <w:r w:rsidR="006D43A6" w:rsidRPr="00764D9C">
        <w:rPr>
          <w:rFonts w:ascii="Times New Roman" w:hAnsi="Times New Roman" w:cs="Times New Roman"/>
          <w:sz w:val="24"/>
          <w:szCs w:val="24"/>
        </w:rPr>
        <w:t xml:space="preserve">zdravstvene usluge </w:t>
      </w:r>
      <w:r w:rsidRPr="00764D9C">
        <w:rPr>
          <w:rFonts w:ascii="Times New Roman" w:hAnsi="Times New Roman" w:cs="Times New Roman"/>
          <w:sz w:val="24"/>
          <w:szCs w:val="24"/>
        </w:rPr>
        <w:t>itd.)</w:t>
      </w:r>
      <w:r w:rsidR="00006F09" w:rsidRPr="00764D9C">
        <w:rPr>
          <w:rFonts w:ascii="Times New Roman" w:hAnsi="Times New Roman" w:cs="Times New Roman"/>
          <w:sz w:val="24"/>
          <w:szCs w:val="24"/>
        </w:rPr>
        <w:t>.</w:t>
      </w:r>
      <w:r w:rsidRPr="00764D9C">
        <w:rPr>
          <w:rFonts w:ascii="Times New Roman" w:hAnsi="Times New Roman" w:cs="Times New Roman"/>
          <w:sz w:val="24"/>
          <w:szCs w:val="24"/>
        </w:rPr>
        <w:t xml:space="preserve"> Najznačajnije kategorije materijalnih rashoda planiraju se za </w:t>
      </w:r>
      <w:r w:rsidR="006D672E" w:rsidRPr="00764D9C">
        <w:rPr>
          <w:rFonts w:ascii="Times New Roman" w:hAnsi="Times New Roman" w:cs="Times New Roman"/>
          <w:sz w:val="24"/>
          <w:szCs w:val="24"/>
        </w:rPr>
        <w:t>troškove prijevoza zaposlenika na posao i s posla (</w:t>
      </w:r>
      <w:r w:rsidR="006D43A6" w:rsidRPr="00764D9C">
        <w:rPr>
          <w:rFonts w:ascii="Times New Roman" w:hAnsi="Times New Roman" w:cs="Times New Roman"/>
          <w:sz w:val="24"/>
          <w:szCs w:val="24"/>
        </w:rPr>
        <w:t>4</w:t>
      </w:r>
      <w:r w:rsidR="00764D9C" w:rsidRPr="00B61107">
        <w:rPr>
          <w:rFonts w:ascii="Times New Roman" w:hAnsi="Times New Roman" w:cs="Times New Roman"/>
          <w:sz w:val="24"/>
          <w:szCs w:val="24"/>
        </w:rPr>
        <w:t>1</w:t>
      </w:r>
      <w:r w:rsidR="006D672E" w:rsidRPr="00764D9C">
        <w:rPr>
          <w:rFonts w:ascii="Times New Roman" w:hAnsi="Times New Roman" w:cs="Times New Roman"/>
          <w:sz w:val="24"/>
          <w:szCs w:val="24"/>
        </w:rPr>
        <w:t>%), službena putovanja (</w:t>
      </w:r>
      <w:r w:rsidR="00764D9C" w:rsidRPr="00B61107">
        <w:rPr>
          <w:rFonts w:ascii="Times New Roman" w:hAnsi="Times New Roman" w:cs="Times New Roman"/>
          <w:sz w:val="24"/>
          <w:szCs w:val="24"/>
        </w:rPr>
        <w:t>9</w:t>
      </w:r>
      <w:r w:rsidR="006D672E" w:rsidRPr="00764D9C">
        <w:rPr>
          <w:rFonts w:ascii="Times New Roman" w:hAnsi="Times New Roman" w:cs="Times New Roman"/>
          <w:sz w:val="24"/>
          <w:szCs w:val="24"/>
        </w:rPr>
        <w:t xml:space="preserve">%), </w:t>
      </w:r>
      <w:r w:rsidRPr="00764D9C">
        <w:rPr>
          <w:rFonts w:ascii="Times New Roman" w:hAnsi="Times New Roman" w:cs="Times New Roman"/>
          <w:sz w:val="24"/>
          <w:szCs w:val="24"/>
        </w:rPr>
        <w:t>usluge telefona, pošte i prijevoza (</w:t>
      </w:r>
      <w:r w:rsidR="00764D9C" w:rsidRPr="00B61107">
        <w:rPr>
          <w:rFonts w:ascii="Times New Roman" w:hAnsi="Times New Roman" w:cs="Times New Roman"/>
          <w:sz w:val="24"/>
          <w:szCs w:val="24"/>
        </w:rPr>
        <w:t>5</w:t>
      </w:r>
      <w:r w:rsidRPr="00764D9C">
        <w:rPr>
          <w:rFonts w:ascii="Times New Roman" w:hAnsi="Times New Roman" w:cs="Times New Roman"/>
          <w:sz w:val="24"/>
          <w:szCs w:val="24"/>
        </w:rPr>
        <w:t>%)</w:t>
      </w:r>
      <w:r w:rsidR="006D672E" w:rsidRPr="00764D9C">
        <w:rPr>
          <w:rFonts w:ascii="Times New Roman" w:hAnsi="Times New Roman" w:cs="Times New Roman"/>
          <w:sz w:val="24"/>
          <w:szCs w:val="24"/>
        </w:rPr>
        <w:t>,</w:t>
      </w:r>
      <w:r w:rsidRPr="00764D9C">
        <w:rPr>
          <w:rFonts w:ascii="Times New Roman" w:hAnsi="Times New Roman" w:cs="Times New Roman"/>
          <w:sz w:val="24"/>
          <w:szCs w:val="24"/>
        </w:rPr>
        <w:t xml:space="preserve"> </w:t>
      </w:r>
      <w:r w:rsidR="000F512B" w:rsidRPr="00764D9C">
        <w:rPr>
          <w:rFonts w:ascii="Times New Roman" w:hAnsi="Times New Roman" w:cs="Times New Roman"/>
          <w:sz w:val="24"/>
          <w:szCs w:val="24"/>
        </w:rPr>
        <w:t>za usluge licenci (1</w:t>
      </w:r>
      <w:r w:rsidR="00764D9C" w:rsidRPr="00B61107">
        <w:rPr>
          <w:rFonts w:ascii="Times New Roman" w:hAnsi="Times New Roman" w:cs="Times New Roman"/>
          <w:sz w:val="24"/>
          <w:szCs w:val="24"/>
        </w:rPr>
        <w:t>1</w:t>
      </w:r>
      <w:r w:rsidR="000F512B" w:rsidRPr="00764D9C">
        <w:rPr>
          <w:rFonts w:ascii="Times New Roman" w:hAnsi="Times New Roman" w:cs="Times New Roman"/>
          <w:sz w:val="24"/>
          <w:szCs w:val="24"/>
        </w:rPr>
        <w:t xml:space="preserve">%), </w:t>
      </w:r>
      <w:r w:rsidRPr="00764D9C">
        <w:rPr>
          <w:rFonts w:ascii="Times New Roman" w:hAnsi="Times New Roman" w:cs="Times New Roman"/>
          <w:sz w:val="24"/>
          <w:szCs w:val="24"/>
        </w:rPr>
        <w:t xml:space="preserve">za </w:t>
      </w:r>
      <w:r w:rsidR="00764D9C" w:rsidRPr="00B61107">
        <w:rPr>
          <w:rFonts w:ascii="Times New Roman" w:hAnsi="Times New Roman" w:cs="Times New Roman"/>
          <w:sz w:val="24"/>
          <w:szCs w:val="24"/>
        </w:rPr>
        <w:t xml:space="preserve">stručno usavršavanje djelatnika </w:t>
      </w:r>
      <w:r w:rsidRPr="00764D9C">
        <w:rPr>
          <w:rFonts w:ascii="Times New Roman" w:hAnsi="Times New Roman" w:cs="Times New Roman"/>
          <w:sz w:val="24"/>
          <w:szCs w:val="24"/>
        </w:rPr>
        <w:t>(</w:t>
      </w:r>
      <w:r w:rsidR="00764D9C" w:rsidRPr="00B61107">
        <w:rPr>
          <w:rFonts w:ascii="Times New Roman" w:hAnsi="Times New Roman" w:cs="Times New Roman"/>
          <w:sz w:val="24"/>
          <w:szCs w:val="24"/>
        </w:rPr>
        <w:t>4</w:t>
      </w:r>
      <w:r w:rsidRPr="00764D9C">
        <w:rPr>
          <w:rFonts w:ascii="Times New Roman" w:hAnsi="Times New Roman" w:cs="Times New Roman"/>
          <w:sz w:val="24"/>
          <w:szCs w:val="24"/>
        </w:rPr>
        <w:t>%)</w:t>
      </w:r>
      <w:r w:rsidR="00AA72CD" w:rsidRPr="00764D9C">
        <w:rPr>
          <w:rFonts w:ascii="Times New Roman" w:hAnsi="Times New Roman" w:cs="Times New Roman"/>
          <w:sz w:val="24"/>
          <w:szCs w:val="24"/>
        </w:rPr>
        <w:t>,</w:t>
      </w:r>
      <w:r w:rsidRPr="00764D9C">
        <w:rPr>
          <w:rFonts w:ascii="Times New Roman" w:hAnsi="Times New Roman" w:cs="Times New Roman"/>
          <w:sz w:val="24"/>
          <w:szCs w:val="24"/>
        </w:rPr>
        <w:t xml:space="preserve"> z</w:t>
      </w:r>
      <w:r w:rsidR="000F512B" w:rsidRPr="00764D9C">
        <w:rPr>
          <w:rFonts w:ascii="Times New Roman" w:hAnsi="Times New Roman" w:cs="Times New Roman"/>
          <w:sz w:val="24"/>
          <w:szCs w:val="24"/>
        </w:rPr>
        <w:t xml:space="preserve">a zdravstvene preglede zaposlenika </w:t>
      </w:r>
      <w:r w:rsidRPr="00764D9C">
        <w:rPr>
          <w:rFonts w:ascii="Times New Roman" w:hAnsi="Times New Roman" w:cs="Times New Roman"/>
          <w:sz w:val="24"/>
          <w:szCs w:val="24"/>
        </w:rPr>
        <w:t>(</w:t>
      </w:r>
      <w:r w:rsidR="00764D9C" w:rsidRPr="00B61107">
        <w:rPr>
          <w:rFonts w:ascii="Times New Roman" w:hAnsi="Times New Roman" w:cs="Times New Roman"/>
          <w:sz w:val="24"/>
          <w:szCs w:val="24"/>
        </w:rPr>
        <w:t>7</w:t>
      </w:r>
      <w:r w:rsidRPr="00764D9C">
        <w:rPr>
          <w:rFonts w:ascii="Times New Roman" w:hAnsi="Times New Roman" w:cs="Times New Roman"/>
          <w:sz w:val="24"/>
          <w:szCs w:val="24"/>
        </w:rPr>
        <w:t>%)</w:t>
      </w:r>
      <w:r w:rsidR="006E268D" w:rsidRPr="00764D9C">
        <w:rPr>
          <w:rFonts w:ascii="Times New Roman" w:hAnsi="Times New Roman" w:cs="Times New Roman"/>
          <w:sz w:val="24"/>
          <w:szCs w:val="24"/>
        </w:rPr>
        <w:t xml:space="preserve">, dok ostale nespomenute usluge u manjim iznosima čine preostalih </w:t>
      </w:r>
      <w:r w:rsidR="00764D9C" w:rsidRPr="00B61107">
        <w:rPr>
          <w:rFonts w:ascii="Times New Roman" w:hAnsi="Times New Roman" w:cs="Times New Roman"/>
          <w:sz w:val="24"/>
          <w:szCs w:val="24"/>
        </w:rPr>
        <w:t>dio materijalnih rashoda</w:t>
      </w:r>
      <w:r w:rsidR="006E268D" w:rsidRPr="00764D9C">
        <w:rPr>
          <w:rFonts w:ascii="Times New Roman" w:hAnsi="Times New Roman" w:cs="Times New Roman"/>
          <w:sz w:val="24"/>
          <w:szCs w:val="24"/>
        </w:rPr>
        <w:t>.</w:t>
      </w:r>
    </w:p>
    <w:p w14:paraId="54AC13ED" w14:textId="374150BF" w:rsidR="00BB70BF" w:rsidRDefault="00BB70BF" w:rsidP="007F61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D9C">
        <w:rPr>
          <w:rFonts w:ascii="Times New Roman" w:hAnsi="Times New Roman" w:cs="Times New Roman"/>
          <w:sz w:val="24"/>
          <w:szCs w:val="24"/>
        </w:rPr>
        <w:t xml:space="preserve">U okviru financijskih rashoda planiraju se troškovi bankarskih usluga i usluga platnog </w:t>
      </w:r>
      <w:r w:rsidRPr="0024156B">
        <w:rPr>
          <w:rFonts w:ascii="Times New Roman" w:hAnsi="Times New Roman" w:cs="Times New Roman"/>
          <w:sz w:val="24"/>
          <w:szCs w:val="24"/>
        </w:rPr>
        <w:t xml:space="preserve">prometa te zateznih kamata, za sve godine planiranja u jednakom neznatnom iznosu od </w:t>
      </w:r>
      <w:r w:rsidR="00F365F9" w:rsidRPr="0024156B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24156B">
        <w:rPr>
          <w:rFonts w:ascii="Times New Roman" w:hAnsi="Times New Roman" w:cs="Times New Roman"/>
          <w:sz w:val="24"/>
          <w:szCs w:val="24"/>
        </w:rPr>
        <w:t xml:space="preserve"> EUR; </w:t>
      </w:r>
    </w:p>
    <w:p w14:paraId="5FC37D29" w14:textId="1C1CCAEA" w:rsidR="0024156B" w:rsidRDefault="0024156B" w:rsidP="007F61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0CA8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A054CE">
        <w:rPr>
          <w:rFonts w:ascii="Times New Roman" w:hAnsi="Times New Roman" w:cs="Times New Roman"/>
          <w:sz w:val="24"/>
          <w:szCs w:val="24"/>
        </w:rPr>
        <w:t>odnose se na</w:t>
      </w:r>
      <w:r w:rsidR="00A054CE" w:rsidRPr="00A40CA8">
        <w:rPr>
          <w:rFonts w:ascii="Times New Roman" w:hAnsi="Times New Roman" w:cs="Times New Roman"/>
          <w:sz w:val="24"/>
          <w:szCs w:val="24"/>
        </w:rPr>
        <w:t xml:space="preserve"> </w:t>
      </w:r>
      <w:r w:rsidRPr="00A40CA8">
        <w:rPr>
          <w:rFonts w:ascii="Times New Roman" w:hAnsi="Times New Roman" w:cs="Times New Roman"/>
          <w:sz w:val="24"/>
          <w:szCs w:val="24"/>
        </w:rPr>
        <w:t>planirana sredstva za nužnu zamjenu dotrajalih klimatizacijskih uređaja (svake godine u iznosu od po 7.100 €) energetski učinkovitijima; te u 2027.</w:t>
      </w:r>
      <w:r w:rsidR="00A054CE">
        <w:rPr>
          <w:rFonts w:ascii="Times New Roman" w:hAnsi="Times New Roman" w:cs="Times New Roman"/>
          <w:sz w:val="24"/>
          <w:szCs w:val="24"/>
        </w:rPr>
        <w:t xml:space="preserve"> </w:t>
      </w:r>
      <w:r w:rsidRPr="00A40CA8">
        <w:rPr>
          <w:rFonts w:ascii="Times New Roman" w:hAnsi="Times New Roman" w:cs="Times New Roman"/>
          <w:sz w:val="24"/>
          <w:szCs w:val="24"/>
        </w:rPr>
        <w:t>godini</w:t>
      </w:r>
      <w:r w:rsidR="00A054CE">
        <w:rPr>
          <w:rFonts w:ascii="Times New Roman" w:hAnsi="Times New Roman" w:cs="Times New Roman"/>
          <w:sz w:val="24"/>
          <w:szCs w:val="24"/>
        </w:rPr>
        <w:t xml:space="preserve"> za dio</w:t>
      </w:r>
      <w:r w:rsidRPr="00A40CA8">
        <w:rPr>
          <w:rFonts w:ascii="Times New Roman" w:hAnsi="Times New Roman" w:cs="Times New Roman"/>
          <w:sz w:val="24"/>
          <w:szCs w:val="24"/>
        </w:rPr>
        <w:t xml:space="preserve"> planiran</w:t>
      </w:r>
      <w:r w:rsidR="00A054CE">
        <w:rPr>
          <w:rFonts w:ascii="Times New Roman" w:hAnsi="Times New Roman" w:cs="Times New Roman"/>
          <w:sz w:val="24"/>
          <w:szCs w:val="24"/>
        </w:rPr>
        <w:t>e</w:t>
      </w:r>
      <w:r w:rsidRPr="00A40CA8">
        <w:rPr>
          <w:rFonts w:ascii="Times New Roman" w:hAnsi="Times New Roman" w:cs="Times New Roman"/>
          <w:sz w:val="24"/>
          <w:szCs w:val="24"/>
        </w:rPr>
        <w:t xml:space="preserve"> obnov</w:t>
      </w:r>
      <w:r w:rsidR="00A054CE">
        <w:rPr>
          <w:rFonts w:ascii="Times New Roman" w:hAnsi="Times New Roman" w:cs="Times New Roman"/>
          <w:sz w:val="24"/>
          <w:szCs w:val="24"/>
        </w:rPr>
        <w:t>e</w:t>
      </w:r>
      <w:r w:rsidRPr="00A40CA8">
        <w:rPr>
          <w:rFonts w:ascii="Times New Roman" w:hAnsi="Times New Roman" w:cs="Times New Roman"/>
          <w:sz w:val="24"/>
          <w:szCs w:val="24"/>
        </w:rPr>
        <w:t xml:space="preserve"> zastarjele uredske i komunikacijske opreme (u iznosu 32.000 €).</w:t>
      </w:r>
    </w:p>
    <w:p w14:paraId="54254B76" w14:textId="77777777" w:rsidR="0024156B" w:rsidRDefault="0024156B" w:rsidP="007F6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6B172" w14:textId="1C7952C8" w:rsidR="00BB70BF" w:rsidRPr="004A4CCE" w:rsidRDefault="00BB70BF" w:rsidP="007F6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56B">
        <w:rPr>
          <w:rFonts w:ascii="Times New Roman" w:hAnsi="Times New Roman" w:cs="Times New Roman"/>
          <w:sz w:val="24"/>
          <w:szCs w:val="24"/>
        </w:rPr>
        <w:t>Rashodi financirani vlastitim sredstvima (izvor 31), koja čine akumulirani prihod od internog ugostiteljskog objekta koji je</w:t>
      </w:r>
      <w:r w:rsidRPr="004A4CCE">
        <w:rPr>
          <w:rFonts w:ascii="Times New Roman" w:hAnsi="Times New Roman" w:cs="Times New Roman"/>
          <w:sz w:val="24"/>
          <w:szCs w:val="24"/>
        </w:rPr>
        <w:t xml:space="preserve"> </w:t>
      </w:r>
      <w:r w:rsidR="00A054CE">
        <w:rPr>
          <w:rFonts w:ascii="Times New Roman" w:hAnsi="Times New Roman" w:cs="Times New Roman"/>
          <w:sz w:val="24"/>
          <w:szCs w:val="24"/>
        </w:rPr>
        <w:t>od</w:t>
      </w:r>
      <w:r w:rsidR="00A054CE" w:rsidRPr="004A4CCE">
        <w:rPr>
          <w:rFonts w:ascii="Times New Roman" w:hAnsi="Times New Roman" w:cs="Times New Roman"/>
          <w:sz w:val="24"/>
          <w:szCs w:val="24"/>
        </w:rPr>
        <w:t xml:space="preserve"> </w:t>
      </w:r>
      <w:r w:rsidRPr="004A4CCE">
        <w:rPr>
          <w:rFonts w:ascii="Times New Roman" w:hAnsi="Times New Roman" w:cs="Times New Roman"/>
          <w:sz w:val="24"/>
          <w:szCs w:val="24"/>
        </w:rPr>
        <w:t>2022. privremeno prestao s radom radi prestanka ugovornog odnosa s do</w:t>
      </w:r>
      <w:r w:rsidR="00A054CE">
        <w:rPr>
          <w:rFonts w:ascii="Times New Roman" w:hAnsi="Times New Roman" w:cs="Times New Roman"/>
          <w:sz w:val="24"/>
          <w:szCs w:val="24"/>
        </w:rPr>
        <w:t>t</w:t>
      </w:r>
      <w:r w:rsidRPr="004A4CCE">
        <w:rPr>
          <w:rFonts w:ascii="Times New Roman" w:hAnsi="Times New Roman" w:cs="Times New Roman"/>
          <w:sz w:val="24"/>
          <w:szCs w:val="24"/>
        </w:rPr>
        <w:t>adašnjim voditeljem</w:t>
      </w:r>
      <w:r w:rsidR="00A054CE">
        <w:rPr>
          <w:rFonts w:ascii="Times New Roman" w:hAnsi="Times New Roman" w:cs="Times New Roman"/>
          <w:sz w:val="24"/>
          <w:szCs w:val="24"/>
        </w:rPr>
        <w:t xml:space="preserve"> te razmatranja modela daljnjeg poslovanja</w:t>
      </w:r>
      <w:r w:rsidRPr="004A4CCE">
        <w:rPr>
          <w:rFonts w:ascii="Times New Roman" w:hAnsi="Times New Roman" w:cs="Times New Roman"/>
          <w:sz w:val="24"/>
          <w:szCs w:val="24"/>
        </w:rPr>
        <w:t xml:space="preserve">, planirani su u godišnjem iznosu od </w:t>
      </w:r>
      <w:r w:rsidR="00AC3A4E" w:rsidRPr="004A4CCE">
        <w:rPr>
          <w:rFonts w:ascii="Times New Roman" w:hAnsi="Times New Roman" w:cs="Times New Roman"/>
          <w:sz w:val="24"/>
          <w:szCs w:val="24"/>
        </w:rPr>
        <w:t>po 900</w:t>
      </w:r>
      <w:r w:rsidRPr="004A4CCE">
        <w:rPr>
          <w:rFonts w:ascii="Times New Roman" w:hAnsi="Times New Roman" w:cs="Times New Roman"/>
          <w:sz w:val="24"/>
          <w:szCs w:val="24"/>
        </w:rPr>
        <w:t xml:space="preserve"> EUR za sve tri godine i najvećim se dijelom odnose na financiranje rashoda nabave robe za potrebe istog internog ugostiteljskog objekta za slučaj nastavka </w:t>
      </w:r>
      <w:r w:rsidR="00877E94" w:rsidRPr="004A4CCE">
        <w:rPr>
          <w:rFonts w:ascii="Times New Roman" w:hAnsi="Times New Roman" w:cs="Times New Roman"/>
          <w:sz w:val="24"/>
          <w:szCs w:val="24"/>
        </w:rPr>
        <w:t xml:space="preserve">poslovanja ovog objekta. </w:t>
      </w:r>
      <w:r w:rsidRPr="004A4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25F78" w14:textId="77777777" w:rsidR="00BB70BF" w:rsidRPr="00B61107" w:rsidRDefault="00BB70BF" w:rsidP="007F610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6110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4E55E80" w14:textId="03C6B001" w:rsidR="00BB70BF" w:rsidRPr="003F571A" w:rsidRDefault="00BB70BF" w:rsidP="007F6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CCE">
        <w:rPr>
          <w:rFonts w:ascii="Times New Roman" w:hAnsi="Times New Roman" w:cs="Times New Roman"/>
          <w:sz w:val="24"/>
          <w:szCs w:val="24"/>
        </w:rPr>
        <w:t xml:space="preserve">Rashodi financirani s izvora 43 odnose se na prijenos (transfer) propisanih udjela prihoda državnog proračuna od uplaćenih propisanih nacionalnih naknada za održavanje u vrijednosti patenata od strane nositelja onih Europskih patenata koji se odnose na Republiku Hrvatsku, propisanih naknada za međunarodni postupak prijave patenta temeljem međunarodnog Ugovora o suradnji u području patenata (tzv. Ugovor PCT) od strane domaćih podnositelja te naknade podnositelja nacionalnih patenata za tražene posebne stručne usluge Europske patentne organizacije, prema Europskoj patentnoj organizaciji i Svjetskoj organizaciji za intelektualno vlasništvo sukladno </w:t>
      </w:r>
      <w:r w:rsidRPr="003F571A">
        <w:rPr>
          <w:rFonts w:ascii="Times New Roman" w:hAnsi="Times New Roman" w:cs="Times New Roman"/>
          <w:sz w:val="24"/>
          <w:szCs w:val="24"/>
        </w:rPr>
        <w:t xml:space="preserve">međunarodnim obvezama Republike Hrvatske. Isti su planirani u iznosu </w:t>
      </w:r>
      <w:r w:rsidR="004A4CCE" w:rsidRPr="00B61107">
        <w:rPr>
          <w:rFonts w:ascii="Times New Roman" w:hAnsi="Times New Roman" w:cs="Times New Roman"/>
          <w:sz w:val="24"/>
          <w:szCs w:val="24"/>
        </w:rPr>
        <w:t xml:space="preserve">od </w:t>
      </w:r>
      <w:r w:rsidRPr="003F571A">
        <w:rPr>
          <w:rFonts w:ascii="Times New Roman" w:hAnsi="Times New Roman" w:cs="Times New Roman"/>
          <w:sz w:val="24"/>
          <w:szCs w:val="24"/>
        </w:rPr>
        <w:t>1.</w:t>
      </w:r>
      <w:r w:rsidR="00AC3A4E" w:rsidRPr="003F571A">
        <w:rPr>
          <w:rFonts w:ascii="Times New Roman" w:hAnsi="Times New Roman" w:cs="Times New Roman"/>
          <w:sz w:val="24"/>
          <w:szCs w:val="24"/>
        </w:rPr>
        <w:t>4</w:t>
      </w:r>
      <w:r w:rsidR="004A4CCE" w:rsidRPr="00B61107">
        <w:rPr>
          <w:rFonts w:ascii="Times New Roman" w:hAnsi="Times New Roman" w:cs="Times New Roman"/>
          <w:sz w:val="24"/>
          <w:szCs w:val="24"/>
        </w:rPr>
        <w:t>80</w:t>
      </w:r>
      <w:r w:rsidR="00AC3A4E" w:rsidRPr="003F571A">
        <w:rPr>
          <w:rFonts w:ascii="Times New Roman" w:hAnsi="Times New Roman" w:cs="Times New Roman"/>
          <w:sz w:val="24"/>
          <w:szCs w:val="24"/>
        </w:rPr>
        <w:t>.</w:t>
      </w:r>
      <w:r w:rsidR="004A4CCE" w:rsidRPr="00B61107">
        <w:rPr>
          <w:rFonts w:ascii="Times New Roman" w:hAnsi="Times New Roman" w:cs="Times New Roman"/>
          <w:sz w:val="24"/>
          <w:szCs w:val="24"/>
        </w:rPr>
        <w:t>000</w:t>
      </w:r>
      <w:r w:rsidR="00AC3A4E" w:rsidRPr="003F571A">
        <w:rPr>
          <w:rFonts w:ascii="Times New Roman" w:hAnsi="Times New Roman" w:cs="Times New Roman"/>
          <w:sz w:val="24"/>
          <w:szCs w:val="24"/>
        </w:rPr>
        <w:t xml:space="preserve"> €</w:t>
      </w:r>
      <w:r w:rsidRPr="003F571A">
        <w:rPr>
          <w:rFonts w:ascii="Times New Roman" w:hAnsi="Times New Roman" w:cs="Times New Roman"/>
          <w:sz w:val="24"/>
          <w:szCs w:val="24"/>
        </w:rPr>
        <w:t xml:space="preserve"> u </w:t>
      </w:r>
      <w:r w:rsidR="004A4CCE" w:rsidRPr="00B61107">
        <w:rPr>
          <w:rFonts w:ascii="Times New Roman" w:hAnsi="Times New Roman" w:cs="Times New Roman"/>
          <w:sz w:val="24"/>
          <w:szCs w:val="24"/>
        </w:rPr>
        <w:t xml:space="preserve">svakoj godini plana. </w:t>
      </w:r>
    </w:p>
    <w:p w14:paraId="7E674184" w14:textId="77777777" w:rsidR="00BB70BF" w:rsidRPr="00B61107" w:rsidRDefault="00BB70BF" w:rsidP="007F6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9702B" w14:textId="6C108F10" w:rsidR="00BB70BF" w:rsidRPr="00B61107" w:rsidRDefault="00BB70BF" w:rsidP="007F610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9612E">
        <w:rPr>
          <w:rFonts w:ascii="Times New Roman" w:hAnsi="Times New Roman" w:cs="Times New Roman"/>
          <w:sz w:val="24"/>
          <w:szCs w:val="24"/>
        </w:rPr>
        <w:t>Planirani rashodi financirani s izvora 51 odnose se na troškove planiranih službenih putovanja zaposlenika DZIV-a za potrebe predstavljanja Republike Hrvatske na sastancima stručnih i radnih tijela Europske unije te dijelom refundirana od strane istih</w:t>
      </w:r>
      <w:r w:rsidR="0039612E" w:rsidRPr="00B61107">
        <w:rPr>
          <w:rFonts w:ascii="Times New Roman" w:hAnsi="Times New Roman" w:cs="Times New Roman"/>
          <w:sz w:val="24"/>
          <w:szCs w:val="24"/>
        </w:rPr>
        <w:t>. Za 2026. i 2027.</w:t>
      </w:r>
      <w:r w:rsidR="00A054CE">
        <w:rPr>
          <w:rFonts w:ascii="Times New Roman" w:hAnsi="Times New Roman" w:cs="Times New Roman"/>
          <w:sz w:val="24"/>
          <w:szCs w:val="24"/>
        </w:rPr>
        <w:t xml:space="preserve"> </w:t>
      </w:r>
      <w:r w:rsidR="0039612E" w:rsidRPr="00B61107">
        <w:rPr>
          <w:rFonts w:ascii="Times New Roman" w:hAnsi="Times New Roman" w:cs="Times New Roman"/>
          <w:sz w:val="24"/>
          <w:szCs w:val="24"/>
        </w:rPr>
        <w:t xml:space="preserve">godinu </w:t>
      </w:r>
      <w:r w:rsidR="004A4CCE">
        <w:rPr>
          <w:rFonts w:ascii="Times New Roman" w:hAnsi="Times New Roman" w:cs="Times New Roman"/>
          <w:sz w:val="24"/>
          <w:szCs w:val="24"/>
        </w:rPr>
        <w:t xml:space="preserve">rashodi su planirani u istom opsegu, dok se za 2028. predviđa povećanje zbog </w:t>
      </w:r>
      <w:r w:rsidR="007C40E1">
        <w:rPr>
          <w:rFonts w:ascii="Times New Roman" w:hAnsi="Times New Roman" w:cs="Times New Roman"/>
          <w:sz w:val="24"/>
          <w:szCs w:val="24"/>
        </w:rPr>
        <w:t xml:space="preserve">očekivanog povećanja troškova </w:t>
      </w:r>
      <w:r w:rsidR="00AC3A4E" w:rsidRPr="004A4CCE">
        <w:rPr>
          <w:rFonts w:ascii="Times New Roman" w:hAnsi="Times New Roman" w:cs="Times New Roman"/>
          <w:sz w:val="24"/>
          <w:szCs w:val="24"/>
        </w:rPr>
        <w:t>službenih putovanja.</w:t>
      </w:r>
    </w:p>
    <w:p w14:paraId="4E610E57" w14:textId="77777777" w:rsidR="00BB70BF" w:rsidRPr="00B61107" w:rsidRDefault="00BB70BF" w:rsidP="007F610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700EF2" w14:textId="19C41F78" w:rsidR="00BB70BF" w:rsidRPr="00B61107" w:rsidRDefault="00BB70BF" w:rsidP="007F610C">
      <w:pPr>
        <w:jc w:val="both"/>
        <w:rPr>
          <w:rFonts w:ascii="Times New Roman" w:hAnsi="Times New Roman" w:cs="Times New Roman"/>
          <w:sz w:val="24"/>
          <w:szCs w:val="24"/>
        </w:rPr>
      </w:pPr>
      <w:r w:rsidRPr="004A4CCE">
        <w:rPr>
          <w:rFonts w:ascii="Times New Roman" w:hAnsi="Times New Roman" w:cs="Times New Roman"/>
          <w:sz w:val="24"/>
          <w:szCs w:val="24"/>
        </w:rPr>
        <w:t>Rashodi za službena putovanja zaposlenika DZIV-a kao predstavnika Republike Hrvatske na sastanke stručnih i upravljačkih tijela Europske patentne organizacije te radnih grupa Europskog patentnog ureda kao izvršnog tijela te organizacije financiraju se s izvora 52 te su refundirani od strane Europskog patentnog ureda i predstavljaju najveći dio rashoda unutar ovog izvora (</w:t>
      </w:r>
      <w:r w:rsidR="00AC3A4E" w:rsidRPr="004A4CCE">
        <w:rPr>
          <w:rFonts w:ascii="Times New Roman" w:hAnsi="Times New Roman" w:cs="Times New Roman"/>
          <w:sz w:val="24"/>
          <w:szCs w:val="24"/>
        </w:rPr>
        <w:t>86</w:t>
      </w:r>
      <w:r w:rsidRPr="004A4CCE">
        <w:rPr>
          <w:rFonts w:ascii="Times New Roman" w:hAnsi="Times New Roman" w:cs="Times New Roman"/>
          <w:sz w:val="24"/>
          <w:szCs w:val="24"/>
        </w:rPr>
        <w:t xml:space="preserve">%). Preostali udio u ovim rashodima čine planirani rashodi za druge aktivnosti koje se provode u suradnji s međunarodnim organizacijama (stručno usavršavanje zaposlenika DZIV-a putem programa međunarodnih organizacija, zajednička organizacija stručnih događanja i po potrebi angažmana vanjskih konzultanata na suradničkim aktivnostima i sl.). </w:t>
      </w:r>
    </w:p>
    <w:p w14:paraId="71FA56F7" w14:textId="77777777" w:rsidR="00BB70BF" w:rsidRPr="00D9315B" w:rsidRDefault="00BB70BF" w:rsidP="007F610C">
      <w:pPr>
        <w:jc w:val="both"/>
        <w:rPr>
          <w:rFonts w:ascii="Times New Roman" w:hAnsi="Times New Roman" w:cs="Times New Roman"/>
          <w:highlight w:val="yellow"/>
        </w:rPr>
      </w:pPr>
    </w:p>
    <w:p w14:paraId="2BE74814" w14:textId="7DA7CC95" w:rsidR="00BB70BF" w:rsidRPr="00B61107" w:rsidRDefault="00BB70BF" w:rsidP="0079377D">
      <w:pPr>
        <w:pStyle w:val="Heading3"/>
        <w:rPr>
          <w:rFonts w:cs="Times New Roman"/>
          <w:highlight w:val="yellow"/>
          <w:lang w:val="hr-HR"/>
        </w:rPr>
      </w:pPr>
      <w:r w:rsidRPr="007B38B2">
        <w:rPr>
          <w:rFonts w:cs="Times New Roman"/>
          <w:lang w:val="hr-HR"/>
        </w:rPr>
        <w:lastRenderedPageBreak/>
        <w:t xml:space="preserve">T763005 SURADNJA DZIV-a S </w:t>
      </w:r>
      <w:r w:rsidR="00013AFC" w:rsidRPr="007B38B2">
        <w:rPr>
          <w:rFonts w:cs="Times New Roman"/>
          <w:lang w:val="hr-HR"/>
        </w:rPr>
        <w:t xml:space="preserve">EUROPSKIM </w:t>
      </w:r>
      <w:r w:rsidRPr="007B38B2">
        <w:rPr>
          <w:rFonts w:cs="Times New Roman"/>
          <w:lang w:val="hr-HR"/>
        </w:rPr>
        <w:t xml:space="preserve">UREDOM ZA </w:t>
      </w:r>
      <w:r w:rsidR="00013AFC" w:rsidRPr="007B38B2">
        <w:rPr>
          <w:rFonts w:cs="Times New Roman"/>
          <w:lang w:val="hr-HR"/>
        </w:rPr>
        <w:t>ŽIGOVE I DIZAJN</w:t>
      </w:r>
    </w:p>
    <w:p w14:paraId="62C4F4F7" w14:textId="77777777" w:rsidR="00BB70BF" w:rsidRPr="007B38B2" w:rsidRDefault="00BB70BF" w:rsidP="00BB70BF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textAlignment w:val="baseline"/>
        <w:outlineLvl w:val="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8B2">
        <w:rPr>
          <w:rFonts w:ascii="Times New Roman" w:eastAsia="Times New Roman" w:hAnsi="Times New Roman" w:cs="Times New Roman"/>
          <w:b/>
          <w:sz w:val="24"/>
          <w:szCs w:val="24"/>
        </w:rPr>
        <w:t>Zakonske i druge pravne osnove</w:t>
      </w:r>
    </w:p>
    <w:p w14:paraId="38F68F6F" w14:textId="40DC7A24" w:rsidR="00BB70BF" w:rsidRPr="007B38B2" w:rsidRDefault="00BB70BF" w:rsidP="007F610C">
      <w:pPr>
        <w:rPr>
          <w:rFonts w:ascii="Times New Roman" w:hAnsi="Times New Roman" w:cs="Times New Roman"/>
          <w:sz w:val="24"/>
          <w:szCs w:val="24"/>
        </w:rPr>
      </w:pPr>
      <w:r w:rsidRPr="007B38B2">
        <w:rPr>
          <w:rFonts w:ascii="Times New Roman" w:hAnsi="Times New Roman" w:cs="Times New Roman"/>
          <w:sz w:val="24"/>
          <w:szCs w:val="24"/>
        </w:rPr>
        <w:t>Uredba (EU) 2017/1001 Europskog parlamenta i Vijeća od 14. lipnja 2017. o žigu Europske unije, članak. 152.</w:t>
      </w:r>
      <w:r w:rsidR="00013AFC" w:rsidRPr="007B38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18A">
        <w:rPr>
          <w:rFonts w:ascii="Times New Roman" w:eastAsia="Calibri" w:hAnsi="Times New Roman" w:cs="Times New Roman"/>
          <w:sz w:val="24"/>
          <w:szCs w:val="24"/>
        </w:rPr>
        <w:t>i 172.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09"/>
        <w:gridCol w:w="1607"/>
        <w:gridCol w:w="1598"/>
        <w:gridCol w:w="1598"/>
        <w:gridCol w:w="1598"/>
        <w:gridCol w:w="1598"/>
        <w:gridCol w:w="698"/>
      </w:tblGrid>
      <w:tr w:rsidR="00F114B2" w:rsidRPr="00D9315B" w14:paraId="134981D9" w14:textId="77777777" w:rsidTr="004A3D7D">
        <w:trPr>
          <w:jc w:val="center"/>
        </w:trPr>
        <w:tc>
          <w:tcPr>
            <w:tcW w:w="1509" w:type="dxa"/>
            <w:shd w:val="clear" w:color="auto" w:fill="B5C0D8"/>
          </w:tcPr>
          <w:p w14:paraId="420D1F2A" w14:textId="77777777" w:rsidR="00F114B2" w:rsidRPr="00D9315B" w:rsidRDefault="00F114B2" w:rsidP="00F114B2">
            <w:pPr>
              <w:jc w:val="both"/>
              <w:rPr>
                <w:rFonts w:cs="Times New Roman"/>
                <w:szCs w:val="20"/>
                <w:highlight w:val="yellow"/>
              </w:rPr>
            </w:pPr>
          </w:p>
          <w:p w14:paraId="65E957C9" w14:textId="5630DB9C" w:rsidR="00F114B2" w:rsidRPr="00D9315B" w:rsidRDefault="00F114B2" w:rsidP="00F114B2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607" w:type="dxa"/>
            <w:shd w:val="clear" w:color="auto" w:fill="B5C0D8"/>
          </w:tcPr>
          <w:p w14:paraId="43D99848" w14:textId="03421465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Izvršenje 2024.</w:t>
            </w:r>
          </w:p>
        </w:tc>
        <w:tc>
          <w:tcPr>
            <w:tcW w:w="1598" w:type="dxa"/>
            <w:shd w:val="clear" w:color="auto" w:fill="B5C0D8"/>
          </w:tcPr>
          <w:p w14:paraId="0DB3C8F8" w14:textId="19150830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Plan 2025.</w:t>
            </w:r>
          </w:p>
        </w:tc>
        <w:tc>
          <w:tcPr>
            <w:tcW w:w="1598" w:type="dxa"/>
            <w:shd w:val="clear" w:color="auto" w:fill="B5C0D8"/>
          </w:tcPr>
          <w:p w14:paraId="45317828" w14:textId="56E7D455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Plan 2026.</w:t>
            </w:r>
          </w:p>
        </w:tc>
        <w:tc>
          <w:tcPr>
            <w:tcW w:w="1598" w:type="dxa"/>
            <w:shd w:val="clear" w:color="auto" w:fill="B5C0D8"/>
          </w:tcPr>
          <w:p w14:paraId="15DB7ADD" w14:textId="16C9A8E2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Plan 2027.</w:t>
            </w:r>
          </w:p>
        </w:tc>
        <w:tc>
          <w:tcPr>
            <w:tcW w:w="1598" w:type="dxa"/>
            <w:shd w:val="clear" w:color="auto" w:fill="B5C0D8"/>
          </w:tcPr>
          <w:p w14:paraId="20052C15" w14:textId="51609E12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Plan 2028.</w:t>
            </w:r>
          </w:p>
        </w:tc>
        <w:tc>
          <w:tcPr>
            <w:tcW w:w="698" w:type="dxa"/>
            <w:shd w:val="clear" w:color="auto" w:fill="B5C0D8"/>
          </w:tcPr>
          <w:p w14:paraId="0178D329" w14:textId="029D0CAF" w:rsidR="00F114B2" w:rsidRPr="00D9315B" w:rsidRDefault="00F114B2" w:rsidP="00F114B2">
            <w:pPr>
              <w:rPr>
                <w:rFonts w:cs="Times New Roman"/>
                <w:highlight w:val="yellow"/>
              </w:rPr>
            </w:pPr>
            <w:r w:rsidRPr="003715DD">
              <w:rPr>
                <w:rFonts w:cs="Times New Roman"/>
              </w:rPr>
              <w:t>Indeks 26./25.</w:t>
            </w:r>
          </w:p>
        </w:tc>
      </w:tr>
      <w:tr w:rsidR="007F610C" w:rsidRPr="00D9315B" w14:paraId="44E0340F" w14:textId="77777777" w:rsidTr="004A3D7D">
        <w:trPr>
          <w:jc w:val="center"/>
        </w:trPr>
        <w:tc>
          <w:tcPr>
            <w:tcW w:w="1509" w:type="dxa"/>
            <w:vAlign w:val="top"/>
          </w:tcPr>
          <w:p w14:paraId="06070CEC" w14:textId="77777777" w:rsidR="00BB70BF" w:rsidRPr="00D9315B" w:rsidRDefault="00BB70BF" w:rsidP="007F610C">
            <w:pPr>
              <w:rPr>
                <w:rFonts w:cs="Times New Roman"/>
                <w:highlight w:val="yellow"/>
              </w:rPr>
            </w:pPr>
            <w:r w:rsidRPr="00F114B2">
              <w:rPr>
                <w:rFonts w:cs="Times New Roman"/>
              </w:rPr>
              <w:t>T763005</w:t>
            </w:r>
          </w:p>
        </w:tc>
        <w:tc>
          <w:tcPr>
            <w:tcW w:w="1607" w:type="dxa"/>
            <w:vAlign w:val="top"/>
          </w:tcPr>
          <w:p w14:paraId="5787635B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598" w:type="dxa"/>
            <w:vAlign w:val="top"/>
          </w:tcPr>
          <w:p w14:paraId="7FFB834B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598" w:type="dxa"/>
            <w:vAlign w:val="top"/>
          </w:tcPr>
          <w:p w14:paraId="6EE8C5AF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598" w:type="dxa"/>
            <w:vAlign w:val="top"/>
          </w:tcPr>
          <w:p w14:paraId="72F4CB13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1598" w:type="dxa"/>
            <w:vAlign w:val="top"/>
          </w:tcPr>
          <w:p w14:paraId="341F8586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  <w:tc>
          <w:tcPr>
            <w:tcW w:w="698" w:type="dxa"/>
            <w:vAlign w:val="top"/>
          </w:tcPr>
          <w:p w14:paraId="385235A1" w14:textId="77777777" w:rsidR="00BB70BF" w:rsidRPr="00D9315B" w:rsidRDefault="00BB70BF" w:rsidP="007F610C">
            <w:pPr>
              <w:jc w:val="both"/>
              <w:rPr>
                <w:rFonts w:cs="Times New Roman"/>
                <w:highlight w:val="yellow"/>
              </w:rPr>
            </w:pPr>
          </w:p>
        </w:tc>
      </w:tr>
    </w:tbl>
    <w:p w14:paraId="683A03BB" w14:textId="77777777" w:rsidR="00BB70BF" w:rsidRPr="00D9315B" w:rsidRDefault="00BB70BF" w:rsidP="007F610C">
      <w:pPr>
        <w:rPr>
          <w:rFonts w:ascii="Times New Roman" w:hAnsi="Times New Roman" w:cs="Times New Roman"/>
          <w:highlight w:val="yellow"/>
        </w:rPr>
      </w:pPr>
    </w:p>
    <w:p w14:paraId="14AE0670" w14:textId="56074C3F" w:rsidR="00BB70BF" w:rsidRPr="007343C7" w:rsidRDefault="00BB70BF" w:rsidP="0079377D">
      <w:pPr>
        <w:jc w:val="both"/>
        <w:rPr>
          <w:rFonts w:ascii="Times New Roman" w:hAnsi="Times New Roman" w:cs="Times New Roman"/>
          <w:sz w:val="24"/>
          <w:szCs w:val="24"/>
        </w:rPr>
      </w:pPr>
      <w:r w:rsidRPr="007343C7">
        <w:rPr>
          <w:rFonts w:ascii="Times New Roman" w:hAnsi="Times New Roman" w:cs="Times New Roman"/>
          <w:sz w:val="24"/>
          <w:szCs w:val="24"/>
        </w:rPr>
        <w:t xml:space="preserve">Temeljem ugovora o suradnji s Uredom Europske unije za intelektualno vlasništvo (EUIPO) i Državnog zavoda za intelektualno vlasništvo, koji se sklapaju na godišnjoj razini, provodi se suradnja propisana člankom 152. Uredbe (EU) 2017/1001 Europskog parlamenta i Vijeća od 14. lipnja 2017. o žigu Europske unije. Sukladno članku 152., EUIPO i središnji uredi za industrijsko vlasništvo država članica i Ured Beneluksa za intelektualno vlasništvo međusobno dobrovoljno surađuju radi promicanja konvergencije praksi i alata u području žigova i dizajna. Ta suradnja posebno obuhvaća: </w:t>
      </w:r>
    </w:p>
    <w:p w14:paraId="7339A092" w14:textId="64B537FF" w:rsidR="00BB70BF" w:rsidRPr="007343C7" w:rsidRDefault="00BB70BF" w:rsidP="0079377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C7">
        <w:rPr>
          <w:rFonts w:ascii="Times New Roman" w:hAnsi="Times New Roman" w:cs="Times New Roman"/>
          <w:sz w:val="24"/>
          <w:szCs w:val="24"/>
        </w:rPr>
        <w:t xml:space="preserve">razvoj zajedničkih standarda ispitivanja prijava za registraciju žigova; </w:t>
      </w:r>
    </w:p>
    <w:p w14:paraId="04D1EF7D" w14:textId="7B8C5853" w:rsidR="00BB70BF" w:rsidRPr="007343C7" w:rsidRDefault="00BB70BF" w:rsidP="0079377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C7">
        <w:rPr>
          <w:rFonts w:ascii="Times New Roman" w:hAnsi="Times New Roman" w:cs="Times New Roman"/>
          <w:sz w:val="24"/>
          <w:szCs w:val="24"/>
        </w:rPr>
        <w:t xml:space="preserve">stvaranje zajedničkih ili povezanih baza podataka i portala u svrhu pregleda, pretraživanja i klasifikacije žigova diljem EU-a; </w:t>
      </w:r>
    </w:p>
    <w:p w14:paraId="04DD3800" w14:textId="1A70EE76" w:rsidR="00BB70BF" w:rsidRPr="007343C7" w:rsidRDefault="00BB70BF" w:rsidP="0079377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C7">
        <w:rPr>
          <w:rFonts w:ascii="Times New Roman" w:hAnsi="Times New Roman" w:cs="Times New Roman"/>
          <w:sz w:val="24"/>
          <w:szCs w:val="24"/>
        </w:rPr>
        <w:t xml:space="preserve">stalno pružanje i razmjenu podataka i informacija, uključujući i rad popunjavanja baza podataka i portala iz točke (b); </w:t>
      </w:r>
    </w:p>
    <w:p w14:paraId="35BA0435" w14:textId="340B4410" w:rsidR="00BB70BF" w:rsidRPr="007343C7" w:rsidRDefault="00BB70BF" w:rsidP="0079377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C7">
        <w:rPr>
          <w:rFonts w:ascii="Times New Roman" w:hAnsi="Times New Roman" w:cs="Times New Roman"/>
          <w:sz w:val="24"/>
          <w:szCs w:val="24"/>
        </w:rPr>
        <w:t xml:space="preserve">uspostavljanje zajedničkih standarda i praksi kako bi se osigurala interoperabilnost između postupaka i sustava diljem EU-a te poboljšala njihova dosljednost, učinkovitost i djelotvornost; </w:t>
      </w:r>
    </w:p>
    <w:p w14:paraId="3C40458A" w14:textId="1E46D1A2" w:rsidR="00BB70BF" w:rsidRPr="007343C7" w:rsidRDefault="00BB70BF" w:rsidP="0079377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C7">
        <w:rPr>
          <w:rFonts w:ascii="Times New Roman" w:hAnsi="Times New Roman" w:cs="Times New Roman"/>
          <w:sz w:val="24"/>
          <w:szCs w:val="24"/>
        </w:rPr>
        <w:t xml:space="preserve">dijeljenje informacija o pravima industrijskog vlasništva i postupcima, uključujući uzajamnu potporu službama za pomoć i informacijskim centrima; </w:t>
      </w:r>
    </w:p>
    <w:p w14:paraId="08B88246" w14:textId="7500AB5A" w:rsidR="00BB70BF" w:rsidRPr="007343C7" w:rsidRDefault="00BB70BF" w:rsidP="0079377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C7">
        <w:rPr>
          <w:rFonts w:ascii="Times New Roman" w:hAnsi="Times New Roman" w:cs="Times New Roman"/>
          <w:sz w:val="24"/>
          <w:szCs w:val="24"/>
        </w:rPr>
        <w:t xml:space="preserve">razmjenu stručnih tehničkih znanja i pomoći u vezi s područjima iz točaka od (a) do (e).  </w:t>
      </w:r>
    </w:p>
    <w:p w14:paraId="296A6151" w14:textId="524D3C8B" w:rsidR="00BB70BF" w:rsidRPr="007E4425" w:rsidRDefault="00BB70BF" w:rsidP="0079377D">
      <w:pPr>
        <w:jc w:val="both"/>
        <w:rPr>
          <w:rFonts w:ascii="Times New Roman" w:hAnsi="Times New Roman" w:cs="Times New Roman"/>
          <w:sz w:val="24"/>
          <w:szCs w:val="24"/>
        </w:rPr>
      </w:pPr>
      <w:r w:rsidRPr="007E4425">
        <w:rPr>
          <w:rFonts w:ascii="Times New Roman" w:hAnsi="Times New Roman" w:cs="Times New Roman"/>
          <w:sz w:val="24"/>
          <w:szCs w:val="24"/>
        </w:rPr>
        <w:t>EUIPO  financijski podupire ove projekte u mjeri u kojoj je to potrebno kako bi se osiguralo učinkovito sudjelovanje središnjih ureda za industrijsko vlasništvo država članica i Ureda Beneluksa za intelektualno vlasništvo u tim projektima. Ta financijska potpora može biti u obliku bespovratnih sredstava i doprinosa u naravi. Korisnici bespovratnih sredstava su središnji uredi za industrijsko vlasništvo država članica i Ured Beneluksa za intelektualno vlasništvo. Bespovratna sredstva mogu se dodijeliti bez poziva za dostavu prijedloga u skladu s financijskim pravilima primjenjivima na EUIPO i s načelima postupaka dodjele bespovratnih sredstava sadržanima u Uredbi (EU, Euratom) br. 966/2012 Europskog parlamenta i Vijeća te u Delegiranoj uredbi Komisije (EU) br. 1268/2012. Uz to, EUIPO  i relevantna nadležna tijela država članica dobrovoljno međusobno surađuju na promicanju podizanja svijesti o sustavu žigova i borbi protiv krivotvorenja. Takva suradnja uključuje projekte koji su posebno usmjereni na provedbu uspostavljenih standarda i prakse, kao i na organiziranje obrazovnih aktivnosti i aktivnosti osposobljavanja. Financijska potpora za te projekte primjenjuj</w:t>
      </w:r>
      <w:r w:rsidR="005C1265" w:rsidRPr="007E4425">
        <w:rPr>
          <w:rFonts w:ascii="Times New Roman" w:hAnsi="Times New Roman" w:cs="Times New Roman"/>
          <w:sz w:val="24"/>
          <w:szCs w:val="24"/>
        </w:rPr>
        <w:t>e</w:t>
      </w:r>
      <w:r w:rsidRPr="007E4425">
        <w:rPr>
          <w:rFonts w:ascii="Times New Roman" w:hAnsi="Times New Roman" w:cs="Times New Roman"/>
          <w:sz w:val="24"/>
          <w:szCs w:val="24"/>
        </w:rPr>
        <w:t xml:space="preserve"> se na odgovarajući način kao i za prethodno navedene projekte.</w:t>
      </w:r>
    </w:p>
    <w:p w14:paraId="71242881" w14:textId="2659A208" w:rsidR="00BB70BF" w:rsidRDefault="00F46542" w:rsidP="0079377D">
      <w:pPr>
        <w:jc w:val="both"/>
        <w:rPr>
          <w:rFonts w:ascii="Times New Roman" w:hAnsi="Times New Roman" w:cs="Times New Roman"/>
          <w:sz w:val="24"/>
          <w:szCs w:val="24"/>
        </w:rPr>
      </w:pPr>
      <w:r w:rsidRPr="00B61107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BB70BF" w:rsidRPr="00F46542">
        <w:rPr>
          <w:rFonts w:ascii="Times New Roman" w:hAnsi="Times New Roman" w:cs="Times New Roman"/>
          <w:sz w:val="24"/>
          <w:szCs w:val="24"/>
        </w:rPr>
        <w:t xml:space="preserve">ashodi za ove aktivnosti financiraju se iz posebnih namjenskih prihoda temeljem namjenskih uplata Ureda Europske unije za intelektualno vlasništva (izvor 43), a planirana su sukladno ugovorenim aktivnostima koje se financiraju temeljem potpisanih ugovora za svaku godinu planiranja iz kojih proizlaze obveze DZIV-a. </w:t>
      </w:r>
    </w:p>
    <w:p w14:paraId="57A9DA15" w14:textId="1D0B4BA4" w:rsidR="0005318A" w:rsidRPr="00F46542" w:rsidRDefault="0005318A" w:rsidP="007937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5318A">
        <w:rPr>
          <w:rFonts w:ascii="Times New Roman" w:hAnsi="Times New Roman" w:cs="Times New Roman"/>
          <w:sz w:val="24"/>
          <w:szCs w:val="24"/>
        </w:rPr>
        <w:t xml:space="preserve">emeljem članka  172. Uredbe (EU) 2017/1001 </w:t>
      </w:r>
      <w:r>
        <w:rPr>
          <w:rFonts w:ascii="Times New Roman" w:hAnsi="Times New Roman" w:cs="Times New Roman"/>
          <w:sz w:val="24"/>
          <w:szCs w:val="24"/>
        </w:rPr>
        <w:t xml:space="preserve">EUIPO </w:t>
      </w:r>
      <w:r w:rsidRPr="0005318A">
        <w:rPr>
          <w:rFonts w:ascii="Times New Roman" w:hAnsi="Times New Roman" w:cs="Times New Roman"/>
          <w:sz w:val="24"/>
          <w:szCs w:val="24"/>
        </w:rPr>
        <w:t>nadokna</w:t>
      </w:r>
      <w:r>
        <w:rPr>
          <w:rFonts w:ascii="Times New Roman" w:hAnsi="Times New Roman" w:cs="Times New Roman"/>
          <w:sz w:val="24"/>
          <w:szCs w:val="24"/>
        </w:rPr>
        <w:t>đuje</w:t>
      </w:r>
      <w:r w:rsidRPr="0005318A">
        <w:rPr>
          <w:rFonts w:ascii="Times New Roman" w:hAnsi="Times New Roman" w:cs="Times New Roman"/>
          <w:sz w:val="24"/>
          <w:szCs w:val="24"/>
        </w:rPr>
        <w:t xml:space="preserve"> troškov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318A">
        <w:rPr>
          <w:rFonts w:ascii="Times New Roman" w:hAnsi="Times New Roman" w:cs="Times New Roman"/>
          <w:sz w:val="24"/>
          <w:szCs w:val="24"/>
        </w:rPr>
        <w:t xml:space="preserve"> središnjih ureda za industrijsko vlasništvo država članica i drugih nadležnih tijela na temelju specifičnih zadaća koje isti izvršavaju kao funkcionalni dijelovi sustava žiga EU-a</w:t>
      </w:r>
      <w:r>
        <w:rPr>
          <w:rFonts w:ascii="Times New Roman" w:hAnsi="Times New Roman" w:cs="Times New Roman"/>
          <w:sz w:val="24"/>
          <w:szCs w:val="24"/>
        </w:rPr>
        <w:t>. Pri tome nadoknada troškova</w:t>
      </w:r>
      <w:r w:rsidRPr="0005318A">
        <w:rPr>
          <w:rFonts w:ascii="Times New Roman" w:hAnsi="Times New Roman" w:cs="Times New Roman"/>
          <w:sz w:val="24"/>
          <w:szCs w:val="24"/>
        </w:rPr>
        <w:t xml:space="preserve"> ovis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5318A">
        <w:rPr>
          <w:rFonts w:ascii="Times New Roman" w:hAnsi="Times New Roman" w:cs="Times New Roman"/>
          <w:sz w:val="24"/>
          <w:szCs w:val="24"/>
        </w:rPr>
        <w:t xml:space="preserve"> o kretanju relevantnih godišnjih pokazatelja u postupcima zaštite i provedbe prava žigova, a obveza EUIPO-a da nadoknadi troškove koji su nastali određene godine primjenjuje se samo u mjeri u kojoj u toj godini nije došlo do manjka proračuna EUIPO-a.</w:t>
      </w:r>
      <w:r>
        <w:rPr>
          <w:rFonts w:ascii="Times New Roman" w:hAnsi="Times New Roman" w:cs="Times New Roman"/>
          <w:sz w:val="24"/>
          <w:szCs w:val="24"/>
        </w:rPr>
        <w:t xml:space="preserve"> Ovi prihodi koriste se za pokrivanje rashoda poslovanja na način propisan  </w:t>
      </w:r>
      <w:r w:rsidRPr="0005318A">
        <w:rPr>
          <w:rFonts w:ascii="Times New Roman" w:hAnsi="Times New Roman" w:cs="Times New Roman"/>
          <w:sz w:val="24"/>
          <w:szCs w:val="24"/>
        </w:rPr>
        <w:t>Pravilnikom o mjerilima i načinu korištenja namjenskih prihoda, nenamjenskih donacija i vlastitih prihoda DZIV-a.</w:t>
      </w:r>
    </w:p>
    <w:p w14:paraId="1FD67841" w14:textId="6BA121CD" w:rsidR="00BB70BF" w:rsidRDefault="00BB70BF" w:rsidP="0079377D">
      <w:pPr>
        <w:jc w:val="both"/>
        <w:rPr>
          <w:rFonts w:ascii="Times New Roman" w:hAnsi="Times New Roman" w:cs="Times New Roman"/>
          <w:sz w:val="24"/>
          <w:szCs w:val="24"/>
        </w:rPr>
      </w:pPr>
      <w:r w:rsidRPr="008E01A0">
        <w:rPr>
          <w:rFonts w:ascii="Times New Roman" w:hAnsi="Times New Roman" w:cs="Times New Roman"/>
          <w:sz w:val="24"/>
          <w:szCs w:val="24"/>
        </w:rPr>
        <w:t>Najznačajniji rashodi u 202</w:t>
      </w:r>
      <w:r w:rsidR="008E01A0" w:rsidRPr="00B61107">
        <w:rPr>
          <w:rFonts w:ascii="Times New Roman" w:hAnsi="Times New Roman" w:cs="Times New Roman"/>
          <w:sz w:val="24"/>
          <w:szCs w:val="24"/>
        </w:rPr>
        <w:t>6</w:t>
      </w:r>
      <w:r w:rsidRPr="008E01A0">
        <w:rPr>
          <w:rFonts w:ascii="Times New Roman" w:hAnsi="Times New Roman" w:cs="Times New Roman"/>
          <w:sz w:val="24"/>
          <w:szCs w:val="24"/>
        </w:rPr>
        <w:t xml:space="preserve">. godini planiraju se za </w:t>
      </w:r>
      <w:r w:rsidR="002006B6" w:rsidRPr="008E01A0">
        <w:rPr>
          <w:rFonts w:ascii="Times New Roman" w:hAnsi="Times New Roman" w:cs="Times New Roman"/>
          <w:sz w:val="24"/>
          <w:szCs w:val="24"/>
        </w:rPr>
        <w:t>računalne usluge</w:t>
      </w:r>
      <w:r w:rsidR="00CB4189">
        <w:rPr>
          <w:rFonts w:ascii="Times New Roman" w:hAnsi="Times New Roman" w:cs="Times New Roman"/>
          <w:sz w:val="24"/>
          <w:szCs w:val="24"/>
        </w:rPr>
        <w:t xml:space="preserve"> (50% materijalnih rashoda izvora 43T)</w:t>
      </w:r>
      <w:r w:rsidR="008E01A0" w:rsidRPr="00B61107">
        <w:rPr>
          <w:rFonts w:ascii="Times New Roman" w:hAnsi="Times New Roman" w:cs="Times New Roman"/>
          <w:sz w:val="24"/>
          <w:szCs w:val="24"/>
        </w:rPr>
        <w:t>,</w:t>
      </w:r>
      <w:r w:rsidR="00364E9B" w:rsidRPr="008E01A0">
        <w:rPr>
          <w:rFonts w:ascii="Times New Roman" w:hAnsi="Times New Roman" w:cs="Times New Roman"/>
          <w:sz w:val="24"/>
          <w:szCs w:val="24"/>
        </w:rPr>
        <w:t xml:space="preserve"> </w:t>
      </w:r>
      <w:r w:rsidR="008E01A0" w:rsidRPr="00B61107">
        <w:rPr>
          <w:rFonts w:ascii="Times New Roman" w:hAnsi="Times New Roman" w:cs="Times New Roman"/>
          <w:sz w:val="24"/>
          <w:szCs w:val="24"/>
        </w:rPr>
        <w:t xml:space="preserve">unutar njih </w:t>
      </w:r>
      <w:r w:rsidR="00C34DFE" w:rsidRPr="008E01A0">
        <w:rPr>
          <w:rFonts w:ascii="Times New Roman" w:hAnsi="Times New Roman" w:cs="Times New Roman"/>
          <w:sz w:val="24"/>
          <w:szCs w:val="24"/>
        </w:rPr>
        <w:t xml:space="preserve">je najveći iznos predviđen za </w:t>
      </w:r>
      <w:r w:rsidR="007C40E1">
        <w:rPr>
          <w:rFonts w:ascii="Times New Roman" w:hAnsi="Times New Roman" w:cs="Times New Roman"/>
          <w:sz w:val="24"/>
          <w:szCs w:val="24"/>
        </w:rPr>
        <w:t xml:space="preserve">nabavu </w:t>
      </w:r>
      <w:r w:rsidR="007C40E1" w:rsidRPr="00002D0F">
        <w:rPr>
          <w:rFonts w:ascii="Times New Roman" w:hAnsi="Times New Roman" w:cs="Times New Roman"/>
          <w:sz w:val="24"/>
          <w:szCs w:val="24"/>
        </w:rPr>
        <w:t xml:space="preserve">i uvođenje novog </w:t>
      </w:r>
      <w:r w:rsidR="007C40E1">
        <w:rPr>
          <w:rFonts w:ascii="Times New Roman" w:hAnsi="Times New Roman" w:cs="Times New Roman"/>
          <w:sz w:val="24"/>
          <w:szCs w:val="24"/>
        </w:rPr>
        <w:t>s</w:t>
      </w:r>
      <w:r w:rsidR="007C40E1" w:rsidRPr="00002D0F">
        <w:rPr>
          <w:rFonts w:ascii="Times New Roman" w:hAnsi="Times New Roman" w:cs="Times New Roman"/>
          <w:sz w:val="24"/>
          <w:szCs w:val="24"/>
        </w:rPr>
        <w:t xml:space="preserve">ustava elektroničkog uredskog poslovanja i </w:t>
      </w:r>
      <w:r w:rsidR="007C40E1">
        <w:rPr>
          <w:rFonts w:ascii="Times New Roman" w:hAnsi="Times New Roman" w:cs="Times New Roman"/>
          <w:sz w:val="24"/>
          <w:szCs w:val="24"/>
        </w:rPr>
        <w:t>s</w:t>
      </w:r>
      <w:r w:rsidR="007C40E1" w:rsidRPr="00002D0F">
        <w:rPr>
          <w:rFonts w:ascii="Times New Roman" w:hAnsi="Times New Roman" w:cs="Times New Roman"/>
          <w:sz w:val="24"/>
          <w:szCs w:val="24"/>
        </w:rPr>
        <w:t xml:space="preserve">ustava upravljanja dokumentacijom </w:t>
      </w:r>
      <w:r w:rsidR="008E01A0">
        <w:rPr>
          <w:rFonts w:ascii="Times New Roman" w:hAnsi="Times New Roman" w:cs="Times New Roman"/>
          <w:sz w:val="24"/>
          <w:szCs w:val="24"/>
        </w:rPr>
        <w:t xml:space="preserve">te </w:t>
      </w:r>
      <w:r w:rsidR="007C40E1">
        <w:rPr>
          <w:rFonts w:ascii="Times New Roman" w:hAnsi="Times New Roman" w:cs="Times New Roman"/>
          <w:sz w:val="24"/>
          <w:szCs w:val="24"/>
        </w:rPr>
        <w:t>nadogradnju postojeće korisničke digitalne alate za podnošenje prijave za registraciju i druge zahtjeve u postupcima za zaštitu i održavanje u vrijednosti  žigova i industrijskog dizajna (</w:t>
      </w:r>
      <w:r w:rsidR="007C40E1" w:rsidRPr="00002D0F">
        <w:rPr>
          <w:rFonts w:ascii="Times New Roman" w:hAnsi="Times New Roman" w:cs="Times New Roman"/>
          <w:sz w:val="24"/>
          <w:szCs w:val="24"/>
        </w:rPr>
        <w:t>implementacij</w:t>
      </w:r>
      <w:r w:rsidR="007C40E1">
        <w:rPr>
          <w:rFonts w:ascii="Times New Roman" w:hAnsi="Times New Roman" w:cs="Times New Roman"/>
          <w:sz w:val="24"/>
          <w:szCs w:val="24"/>
        </w:rPr>
        <w:t>a</w:t>
      </w:r>
      <w:r w:rsidR="007C40E1" w:rsidRPr="00002D0F">
        <w:rPr>
          <w:rFonts w:ascii="Times New Roman" w:hAnsi="Times New Roman" w:cs="Times New Roman"/>
          <w:sz w:val="24"/>
          <w:szCs w:val="24"/>
        </w:rPr>
        <w:t xml:space="preserve"> </w:t>
      </w:r>
      <w:r w:rsidR="007C40E1">
        <w:rPr>
          <w:rFonts w:ascii="Times New Roman" w:hAnsi="Times New Roman" w:cs="Times New Roman"/>
          <w:sz w:val="24"/>
          <w:szCs w:val="24"/>
        </w:rPr>
        <w:t>modula EUIPO-a</w:t>
      </w:r>
      <w:r w:rsidR="007C40E1" w:rsidRPr="0000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0E1" w:rsidRPr="00002D0F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="007C40E1" w:rsidRPr="0000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0E1" w:rsidRPr="00002D0F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7C40E1">
        <w:rPr>
          <w:rFonts w:ascii="Times New Roman" w:hAnsi="Times New Roman" w:cs="Times New Roman"/>
          <w:sz w:val="24"/>
          <w:szCs w:val="24"/>
        </w:rPr>
        <w:t>)</w:t>
      </w:r>
      <w:r w:rsidR="008E01A0">
        <w:rPr>
          <w:rFonts w:ascii="Times New Roman" w:hAnsi="Times New Roman" w:cs="Times New Roman"/>
          <w:sz w:val="24"/>
          <w:szCs w:val="24"/>
        </w:rPr>
        <w:t>, projekata koji su započeti u 2025. i nastavljaju se u 2026.</w:t>
      </w:r>
      <w:r w:rsidR="007C40E1">
        <w:rPr>
          <w:rFonts w:ascii="Times New Roman" w:hAnsi="Times New Roman" w:cs="Times New Roman"/>
          <w:sz w:val="24"/>
          <w:szCs w:val="24"/>
        </w:rPr>
        <w:t xml:space="preserve"> </w:t>
      </w:r>
      <w:r w:rsidR="008E01A0">
        <w:rPr>
          <w:rFonts w:ascii="Times New Roman" w:hAnsi="Times New Roman" w:cs="Times New Roman"/>
          <w:sz w:val="24"/>
          <w:szCs w:val="24"/>
        </w:rPr>
        <w:t xml:space="preserve">godini. </w:t>
      </w:r>
      <w:r w:rsidR="00CB4189">
        <w:rPr>
          <w:rFonts w:ascii="Times New Roman" w:hAnsi="Times New Roman" w:cs="Times New Roman"/>
          <w:sz w:val="24"/>
          <w:szCs w:val="24"/>
        </w:rPr>
        <w:t>O</w:t>
      </w:r>
      <w:r w:rsidR="008E01A0">
        <w:rPr>
          <w:rFonts w:ascii="Times New Roman" w:hAnsi="Times New Roman" w:cs="Times New Roman"/>
          <w:sz w:val="24"/>
          <w:szCs w:val="24"/>
        </w:rPr>
        <w:t xml:space="preserve">stali rashodi iste proračunske stavke odnose se </w:t>
      </w:r>
      <w:r w:rsidR="008E01A0" w:rsidRPr="00CB4189">
        <w:rPr>
          <w:rFonts w:ascii="Times New Roman" w:hAnsi="Times New Roman" w:cs="Times New Roman"/>
          <w:sz w:val="24"/>
          <w:szCs w:val="24"/>
        </w:rPr>
        <w:t>na</w:t>
      </w:r>
      <w:r w:rsidR="00C34DFE" w:rsidRPr="00CB4189">
        <w:rPr>
          <w:rFonts w:ascii="Times New Roman" w:hAnsi="Times New Roman" w:cs="Times New Roman"/>
          <w:sz w:val="24"/>
          <w:szCs w:val="24"/>
        </w:rPr>
        <w:t xml:space="preserve"> troškove održavanja </w:t>
      </w:r>
      <w:r w:rsidR="002611CA" w:rsidRPr="00CB4189">
        <w:rPr>
          <w:rFonts w:ascii="Times New Roman" w:hAnsi="Times New Roman" w:cs="Times New Roman"/>
          <w:sz w:val="24"/>
          <w:szCs w:val="24"/>
        </w:rPr>
        <w:t xml:space="preserve">informatičke opreme i infrastrukture, korisničkih </w:t>
      </w:r>
      <w:r w:rsidR="007C40E1">
        <w:rPr>
          <w:rFonts w:ascii="Times New Roman" w:hAnsi="Times New Roman" w:cs="Times New Roman"/>
          <w:sz w:val="24"/>
          <w:szCs w:val="24"/>
        </w:rPr>
        <w:t>digitalnih</w:t>
      </w:r>
      <w:r w:rsidR="007C40E1" w:rsidRPr="00CB4189">
        <w:rPr>
          <w:rFonts w:ascii="Times New Roman" w:hAnsi="Times New Roman" w:cs="Times New Roman"/>
          <w:sz w:val="24"/>
          <w:szCs w:val="24"/>
        </w:rPr>
        <w:t xml:space="preserve"> </w:t>
      </w:r>
      <w:r w:rsidR="002611CA" w:rsidRPr="00CB4189">
        <w:rPr>
          <w:rFonts w:ascii="Times New Roman" w:hAnsi="Times New Roman" w:cs="Times New Roman"/>
          <w:sz w:val="24"/>
          <w:szCs w:val="24"/>
        </w:rPr>
        <w:t>alata</w:t>
      </w:r>
      <w:r w:rsidR="00C34DFE" w:rsidRPr="00CB4189">
        <w:rPr>
          <w:rFonts w:ascii="Times New Roman" w:hAnsi="Times New Roman" w:cs="Times New Roman"/>
          <w:sz w:val="24"/>
          <w:szCs w:val="24"/>
        </w:rPr>
        <w:t xml:space="preserve">, troškove </w:t>
      </w:r>
      <w:r w:rsidR="002006B6" w:rsidRPr="00CB4189">
        <w:rPr>
          <w:rFonts w:ascii="Times New Roman" w:hAnsi="Times New Roman" w:cs="Times New Roman"/>
          <w:sz w:val="24"/>
          <w:szCs w:val="24"/>
        </w:rPr>
        <w:t xml:space="preserve">za </w:t>
      </w:r>
      <w:r w:rsidRPr="00CB4189">
        <w:rPr>
          <w:rFonts w:ascii="Times New Roman" w:hAnsi="Times New Roman" w:cs="Times New Roman"/>
          <w:sz w:val="24"/>
          <w:szCs w:val="24"/>
        </w:rPr>
        <w:t xml:space="preserve">potrebe razvoja informacijskog sustava DZIV-a u svrhu provedbe zajedničkih projekata razvoja digitalnih alata,  razmjene podataka i informacija, osiguravanje kvalitete podataka i potrebne visoke razine neprekinute dostupnosti zajedničkih korisničkih servisa </w:t>
      </w:r>
      <w:proofErr w:type="spellStart"/>
      <w:r w:rsidRPr="00CB4189">
        <w:rPr>
          <w:rFonts w:ascii="Times New Roman" w:hAnsi="Times New Roman" w:cs="Times New Roman"/>
          <w:sz w:val="24"/>
          <w:szCs w:val="24"/>
        </w:rPr>
        <w:t>TMView</w:t>
      </w:r>
      <w:proofErr w:type="spellEnd"/>
      <w:r w:rsidRPr="00CB418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B4189">
        <w:rPr>
          <w:rFonts w:ascii="Times New Roman" w:hAnsi="Times New Roman" w:cs="Times New Roman"/>
          <w:sz w:val="24"/>
          <w:szCs w:val="24"/>
        </w:rPr>
        <w:t>DesignView</w:t>
      </w:r>
      <w:proofErr w:type="spellEnd"/>
      <w:r w:rsidRPr="00CB4189">
        <w:rPr>
          <w:rFonts w:ascii="Times New Roman" w:hAnsi="Times New Roman" w:cs="Times New Roman"/>
          <w:sz w:val="24"/>
          <w:szCs w:val="24"/>
        </w:rPr>
        <w:t xml:space="preserve"> (sukladno s EUIPO-om ugovorenim standardima održavanja funkcionalnosti tih servisa, tzv. SLA)</w:t>
      </w:r>
      <w:r w:rsidR="007C40E1">
        <w:rPr>
          <w:rFonts w:ascii="Times New Roman" w:hAnsi="Times New Roman" w:cs="Times New Roman"/>
          <w:sz w:val="24"/>
          <w:szCs w:val="24"/>
        </w:rPr>
        <w:t>.</w:t>
      </w:r>
      <w:r w:rsidRPr="00CB4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5DA04" w14:textId="0CC2A4FA" w:rsidR="00730534" w:rsidRPr="00B61107" w:rsidRDefault="00CB4189" w:rsidP="00730534">
      <w:pPr>
        <w:jc w:val="both"/>
        <w:rPr>
          <w:rFonts w:ascii="Times New Roman" w:hAnsi="Times New Roman" w:cs="Times New Roman"/>
          <w:sz w:val="24"/>
          <w:szCs w:val="24"/>
        </w:rPr>
      </w:pPr>
      <w:r w:rsidRPr="00CB4189">
        <w:rPr>
          <w:rFonts w:ascii="Times New Roman" w:hAnsi="Times New Roman" w:cs="Times New Roman"/>
          <w:sz w:val="24"/>
          <w:szCs w:val="24"/>
        </w:rPr>
        <w:t xml:space="preserve">Unutar materijalnih rashoda ovog izvora, sljedeći po veličini su rashodi </w:t>
      </w:r>
      <w:r w:rsidRPr="00B61107">
        <w:rPr>
          <w:rFonts w:ascii="Times New Roman" w:hAnsi="Times New Roman" w:cs="Times New Roman"/>
          <w:sz w:val="24"/>
          <w:szCs w:val="24"/>
        </w:rPr>
        <w:t>poštarine i internetskog pristupa (</w:t>
      </w:r>
      <w:proofErr w:type="spellStart"/>
      <w:r w:rsidRPr="00B61107">
        <w:rPr>
          <w:rFonts w:ascii="Times New Roman" w:hAnsi="Times New Roman" w:cs="Times New Roman"/>
          <w:sz w:val="24"/>
          <w:szCs w:val="24"/>
        </w:rPr>
        <w:t>Hitronet</w:t>
      </w:r>
      <w:proofErr w:type="spellEnd"/>
      <w:r w:rsidRPr="00B61107">
        <w:rPr>
          <w:rFonts w:ascii="Times New Roman" w:hAnsi="Times New Roman" w:cs="Times New Roman"/>
          <w:sz w:val="24"/>
          <w:szCs w:val="24"/>
        </w:rPr>
        <w:t xml:space="preserve"> usluge)</w:t>
      </w:r>
      <w:r w:rsidRPr="00CB4189">
        <w:rPr>
          <w:rFonts w:ascii="Times New Roman" w:hAnsi="Times New Roman" w:cs="Times New Roman"/>
          <w:sz w:val="24"/>
          <w:szCs w:val="24"/>
        </w:rPr>
        <w:t xml:space="preserve"> od preko 11%, </w:t>
      </w:r>
      <w:r w:rsidRPr="00B61107">
        <w:rPr>
          <w:rFonts w:ascii="Times New Roman" w:hAnsi="Times New Roman" w:cs="Times New Roman"/>
          <w:sz w:val="24"/>
          <w:szCs w:val="24"/>
        </w:rPr>
        <w:t>te rashodi za zakupnine i najamnine (6%) unutar kojih prevladavaju rashodi za Microsoftove i druge licence</w:t>
      </w:r>
      <w:r w:rsidRPr="00CB4189">
        <w:rPr>
          <w:rFonts w:ascii="Times New Roman" w:hAnsi="Times New Roman" w:cs="Times New Roman"/>
          <w:sz w:val="24"/>
          <w:szCs w:val="24"/>
        </w:rPr>
        <w:t xml:space="preserve"> </w:t>
      </w:r>
      <w:r w:rsidRPr="00B61107">
        <w:rPr>
          <w:rFonts w:ascii="Times New Roman" w:hAnsi="Times New Roman" w:cs="Times New Roman"/>
          <w:sz w:val="24"/>
          <w:szCs w:val="24"/>
        </w:rPr>
        <w:t xml:space="preserve">te rashodi za usluge najma prostora i opreme za održavanje informacijsko-promotivnih nastupa DZIV-a na javnim priredbama s ciljem poticanja korištenja sustava zaštite intelektualnog vlasništva radi povećanja učinkovitosti inovacijskih i tržišnih aktivnosti poduzeća i drugih subjekata. </w:t>
      </w:r>
      <w:r w:rsidR="00730534">
        <w:rPr>
          <w:rFonts w:ascii="Times New Roman" w:hAnsi="Times New Roman" w:cs="Times New Roman"/>
          <w:sz w:val="24"/>
          <w:szCs w:val="24"/>
        </w:rPr>
        <w:t xml:space="preserve">Uz ova događanja, </w:t>
      </w:r>
      <w:r w:rsidRPr="00730534">
        <w:rPr>
          <w:rFonts w:ascii="Times New Roman" w:hAnsi="Times New Roman" w:cs="Times New Roman"/>
          <w:sz w:val="24"/>
          <w:szCs w:val="24"/>
        </w:rPr>
        <w:t xml:space="preserve">planiraju </w:t>
      </w:r>
      <w:r w:rsidR="00730534" w:rsidRPr="00730534">
        <w:rPr>
          <w:rFonts w:ascii="Times New Roman" w:hAnsi="Times New Roman" w:cs="Times New Roman"/>
          <w:sz w:val="24"/>
          <w:szCs w:val="24"/>
        </w:rPr>
        <w:t xml:space="preserve">se </w:t>
      </w:r>
      <w:r w:rsidRPr="00730534">
        <w:rPr>
          <w:rFonts w:ascii="Times New Roman" w:hAnsi="Times New Roman" w:cs="Times New Roman"/>
          <w:sz w:val="24"/>
          <w:szCs w:val="24"/>
        </w:rPr>
        <w:t xml:space="preserve">i </w:t>
      </w:r>
      <w:r w:rsidR="00730534" w:rsidRPr="00730534">
        <w:rPr>
          <w:rFonts w:ascii="Times New Roman" w:hAnsi="Times New Roman" w:cs="Times New Roman"/>
          <w:sz w:val="24"/>
          <w:szCs w:val="24"/>
        </w:rPr>
        <w:t>u</w:t>
      </w:r>
      <w:r w:rsidR="00730534" w:rsidRPr="00B61107">
        <w:rPr>
          <w:rFonts w:ascii="Times New Roman" w:hAnsi="Times New Roman" w:cs="Times New Roman"/>
          <w:sz w:val="24"/>
          <w:szCs w:val="24"/>
        </w:rPr>
        <w:t xml:space="preserve">sluge promidžbe i informiranja koje se koriste za praćenja i analizu objava o intelektualnom vlasništvu u medijima i na društvenim mrežama. </w:t>
      </w:r>
    </w:p>
    <w:p w14:paraId="4DEDEEA7" w14:textId="223FB4EF" w:rsidR="00CB4189" w:rsidRPr="00B61107" w:rsidRDefault="00730534" w:rsidP="00CB4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107">
        <w:rPr>
          <w:rFonts w:ascii="Times New Roman" w:hAnsi="Times New Roman" w:cs="Times New Roman"/>
          <w:sz w:val="24"/>
          <w:szCs w:val="24"/>
        </w:rPr>
        <w:t xml:space="preserve">Rashodima za usluge tekućeg i investicijskog održavanja planira se izvesti neophodna renovacija sanitarnih prostora </w:t>
      </w:r>
      <w:r w:rsidR="00857332" w:rsidRPr="00B61107">
        <w:rPr>
          <w:rFonts w:ascii="Times New Roman" w:hAnsi="Times New Roman" w:cs="Times New Roman"/>
          <w:sz w:val="24"/>
          <w:szCs w:val="24"/>
        </w:rPr>
        <w:t>koja uključuje i zamjenu dotrajalih instalacija često podložnih kvarovima.</w:t>
      </w:r>
      <w:r w:rsidRPr="00B61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E4F3F" w14:textId="2DE214F3" w:rsidR="00CB4189" w:rsidRDefault="00857332" w:rsidP="00EE4AD0">
      <w:p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predviđena za službena putovanja odnose se na sudjelovanja </w:t>
      </w:r>
      <w:r w:rsidRPr="00857332">
        <w:rPr>
          <w:rFonts w:ascii="Times New Roman" w:hAnsi="Times New Roman" w:cs="Times New Roman"/>
          <w:sz w:val="24"/>
          <w:szCs w:val="24"/>
        </w:rPr>
        <w:t xml:space="preserve">službenika </w:t>
      </w:r>
      <w:r w:rsidRPr="00B61107">
        <w:rPr>
          <w:rFonts w:ascii="Times New Roman" w:hAnsi="Times New Roman" w:cs="Times New Roman"/>
          <w:sz w:val="24"/>
          <w:szCs w:val="24"/>
        </w:rPr>
        <w:t>u programima usklađivanja zajedničke prakse (konvergencija praksi)</w:t>
      </w:r>
      <w:r w:rsidRPr="00857332">
        <w:rPr>
          <w:rFonts w:ascii="Times New Roman" w:hAnsi="Times New Roman" w:cs="Times New Roman"/>
          <w:sz w:val="24"/>
          <w:szCs w:val="24"/>
        </w:rPr>
        <w:t xml:space="preserve">, </w:t>
      </w:r>
      <w:r w:rsidR="002F35E8">
        <w:rPr>
          <w:rFonts w:ascii="Times New Roman" w:hAnsi="Times New Roman" w:cs="Times New Roman"/>
          <w:sz w:val="24"/>
          <w:szCs w:val="24"/>
        </w:rPr>
        <w:t xml:space="preserve">i na ostalim sastancima vezanima uz suradnju s EUIPO-om, </w:t>
      </w:r>
      <w:r w:rsidRPr="00857332">
        <w:rPr>
          <w:rFonts w:ascii="Times New Roman" w:hAnsi="Times New Roman" w:cs="Times New Roman"/>
          <w:sz w:val="24"/>
          <w:szCs w:val="24"/>
        </w:rPr>
        <w:t>dok se</w:t>
      </w:r>
      <w:r w:rsidR="002F35E8">
        <w:rPr>
          <w:rFonts w:ascii="Times New Roman" w:hAnsi="Times New Roman" w:cs="Times New Roman"/>
          <w:sz w:val="24"/>
          <w:szCs w:val="24"/>
        </w:rPr>
        <w:t xml:space="preserve"> za potrebe</w:t>
      </w:r>
      <w:r w:rsidRPr="00857332">
        <w:rPr>
          <w:rFonts w:ascii="Times New Roman" w:hAnsi="Times New Roman" w:cs="Times New Roman"/>
          <w:sz w:val="24"/>
          <w:szCs w:val="24"/>
        </w:rPr>
        <w:t xml:space="preserve"> </w:t>
      </w:r>
      <w:r w:rsidR="002F35E8" w:rsidRPr="00857332">
        <w:rPr>
          <w:rFonts w:ascii="Times New Roman" w:hAnsi="Times New Roman" w:cs="Times New Roman"/>
          <w:sz w:val="24"/>
          <w:szCs w:val="24"/>
        </w:rPr>
        <w:t>stručn</w:t>
      </w:r>
      <w:r w:rsidR="002F35E8">
        <w:rPr>
          <w:rFonts w:ascii="Times New Roman" w:hAnsi="Times New Roman" w:cs="Times New Roman"/>
          <w:sz w:val="24"/>
          <w:szCs w:val="24"/>
        </w:rPr>
        <w:t>og</w:t>
      </w:r>
      <w:r w:rsidR="002F35E8" w:rsidRPr="00857332">
        <w:rPr>
          <w:rFonts w:ascii="Times New Roman" w:hAnsi="Times New Roman" w:cs="Times New Roman"/>
          <w:sz w:val="24"/>
          <w:szCs w:val="24"/>
        </w:rPr>
        <w:t xml:space="preserve"> </w:t>
      </w:r>
      <w:r w:rsidRPr="00857332">
        <w:rPr>
          <w:rFonts w:ascii="Times New Roman" w:hAnsi="Times New Roman" w:cs="Times New Roman"/>
          <w:sz w:val="24"/>
          <w:szCs w:val="24"/>
        </w:rPr>
        <w:t>usavršavanja, uz programe usvajanja i jačanje profesionalnih znanja i vještina osobito IT sektora, planiraju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5E8">
        <w:rPr>
          <w:rFonts w:ascii="Times New Roman" w:hAnsi="Times New Roman" w:cs="Times New Roman"/>
          <w:sz w:val="24"/>
          <w:szCs w:val="24"/>
        </w:rPr>
        <w:t xml:space="preserve">dodatni </w:t>
      </w:r>
      <w:r>
        <w:rPr>
          <w:rFonts w:ascii="Times New Roman" w:hAnsi="Times New Roman" w:cs="Times New Roman"/>
          <w:sz w:val="24"/>
          <w:szCs w:val="24"/>
        </w:rPr>
        <w:t>programi</w:t>
      </w:r>
      <w:r w:rsidR="002F3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edukacije </w:t>
      </w:r>
      <w:r w:rsidR="002F35E8">
        <w:rPr>
          <w:rFonts w:ascii="Times New Roman" w:hAnsi="Times New Roman" w:cs="Times New Roman"/>
          <w:sz w:val="24"/>
          <w:szCs w:val="24"/>
        </w:rPr>
        <w:t xml:space="preserve">iz područja primjene umjetne </w:t>
      </w:r>
      <w:r>
        <w:rPr>
          <w:rFonts w:ascii="Times New Roman" w:hAnsi="Times New Roman" w:cs="Times New Roman"/>
          <w:sz w:val="24"/>
          <w:szCs w:val="24"/>
        </w:rPr>
        <w:t>inteligencij</w:t>
      </w:r>
      <w:r w:rsidR="002F35E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5E8">
        <w:rPr>
          <w:rFonts w:ascii="Times New Roman" w:hAnsi="Times New Roman" w:cs="Times New Roman"/>
          <w:sz w:val="24"/>
          <w:szCs w:val="24"/>
        </w:rPr>
        <w:t>u poslovanju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01EBF" w14:textId="4FC6CC13" w:rsidR="00BB70BF" w:rsidRPr="00260B85" w:rsidRDefault="00BB70BF" w:rsidP="00793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B85">
        <w:rPr>
          <w:rFonts w:ascii="Times New Roman" w:hAnsi="Times New Roman" w:cs="Times New Roman"/>
          <w:sz w:val="24"/>
          <w:szCs w:val="24"/>
        </w:rPr>
        <w:t xml:space="preserve">Rashodi za nabavu nefinancijske imovine uključuju planirana sredstva </w:t>
      </w:r>
      <w:r w:rsidR="00F46542" w:rsidRPr="00B61107">
        <w:rPr>
          <w:rFonts w:ascii="Times New Roman" w:hAnsi="Times New Roman" w:cs="Times New Roman"/>
          <w:sz w:val="24"/>
          <w:szCs w:val="24"/>
        </w:rPr>
        <w:t>za obnovu</w:t>
      </w:r>
      <w:r w:rsidR="00260B85" w:rsidRPr="00B61107">
        <w:rPr>
          <w:rFonts w:ascii="Times New Roman" w:hAnsi="Times New Roman" w:cs="Times New Roman"/>
          <w:sz w:val="24"/>
          <w:szCs w:val="24"/>
        </w:rPr>
        <w:t xml:space="preserve"> dotrajale i zastarjele </w:t>
      </w:r>
      <w:r w:rsidRPr="00260B85">
        <w:rPr>
          <w:rFonts w:ascii="Times New Roman" w:hAnsi="Times New Roman" w:cs="Times New Roman"/>
          <w:sz w:val="24"/>
          <w:szCs w:val="24"/>
        </w:rPr>
        <w:t>potrebne  informatičko-komunikacijske opreme (prvenstveno računalne opreme)</w:t>
      </w:r>
      <w:r w:rsidR="00260B85" w:rsidRPr="00B61107">
        <w:rPr>
          <w:rFonts w:ascii="Times New Roman" w:hAnsi="Times New Roman" w:cs="Times New Roman"/>
          <w:sz w:val="24"/>
          <w:szCs w:val="24"/>
        </w:rPr>
        <w:t xml:space="preserve"> te </w:t>
      </w:r>
      <w:r w:rsidR="002F35E8">
        <w:rPr>
          <w:rFonts w:ascii="Times New Roman" w:hAnsi="Times New Roman" w:cs="Times New Roman"/>
          <w:sz w:val="24"/>
          <w:szCs w:val="24"/>
        </w:rPr>
        <w:t xml:space="preserve">dopunu </w:t>
      </w:r>
      <w:r w:rsidR="002F35E8" w:rsidRPr="00B61107">
        <w:rPr>
          <w:rFonts w:ascii="Times New Roman" w:hAnsi="Times New Roman" w:cs="Times New Roman"/>
          <w:sz w:val="24"/>
          <w:szCs w:val="24"/>
        </w:rPr>
        <w:t xml:space="preserve"> </w:t>
      </w:r>
      <w:r w:rsidR="00260B85" w:rsidRPr="00B61107">
        <w:rPr>
          <w:rFonts w:ascii="Times New Roman" w:hAnsi="Times New Roman" w:cs="Times New Roman"/>
          <w:sz w:val="24"/>
          <w:szCs w:val="24"/>
        </w:rPr>
        <w:t>knjižne građe knjižnic</w:t>
      </w:r>
      <w:r w:rsidR="002F35E8">
        <w:rPr>
          <w:rFonts w:ascii="Times New Roman" w:hAnsi="Times New Roman" w:cs="Times New Roman"/>
          <w:sz w:val="24"/>
          <w:szCs w:val="24"/>
        </w:rPr>
        <w:t>e</w:t>
      </w:r>
      <w:r w:rsidR="00260B85" w:rsidRPr="00B61107">
        <w:rPr>
          <w:rFonts w:ascii="Times New Roman" w:hAnsi="Times New Roman" w:cs="Times New Roman"/>
          <w:sz w:val="24"/>
          <w:szCs w:val="24"/>
        </w:rPr>
        <w:t xml:space="preserve"> Zavoda, specijaliziran</w:t>
      </w:r>
      <w:r w:rsidR="002F35E8">
        <w:rPr>
          <w:rFonts w:ascii="Times New Roman" w:hAnsi="Times New Roman" w:cs="Times New Roman"/>
          <w:sz w:val="24"/>
          <w:szCs w:val="24"/>
        </w:rPr>
        <w:t>e</w:t>
      </w:r>
      <w:r w:rsidR="00260B85" w:rsidRPr="00B61107">
        <w:rPr>
          <w:rFonts w:ascii="Times New Roman" w:hAnsi="Times New Roman" w:cs="Times New Roman"/>
          <w:sz w:val="24"/>
          <w:szCs w:val="24"/>
        </w:rPr>
        <w:t xml:space="preserve"> za tematiku intelektualnog vlasništva</w:t>
      </w:r>
      <w:r w:rsidR="00B61559" w:rsidRPr="00260B85">
        <w:rPr>
          <w:rFonts w:ascii="Times New Roman" w:hAnsi="Times New Roman" w:cs="Times New Roman"/>
          <w:sz w:val="24"/>
          <w:szCs w:val="24"/>
        </w:rPr>
        <w:t>.</w:t>
      </w:r>
    </w:p>
    <w:p w14:paraId="4CAB8BEE" w14:textId="6C24059F" w:rsidR="00D072DD" w:rsidRPr="00B61107" w:rsidRDefault="00D072DD" w:rsidP="0079377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7302A7" w14:textId="77777777" w:rsidR="00BB70BF" w:rsidRPr="00D9315B" w:rsidRDefault="00BB70BF" w:rsidP="0079377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6AB661" w14:textId="77777777" w:rsidR="00BB70BF" w:rsidRPr="00D9315B" w:rsidRDefault="00BB70BF" w:rsidP="0079377D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textAlignment w:val="baseline"/>
        <w:outlineLvl w:val="7"/>
        <w:rPr>
          <w:rFonts w:ascii="Times New Roman" w:hAnsi="Times New Roman" w:cs="Times New Roman"/>
          <w:b/>
          <w:highlight w:val="yellow"/>
        </w:rPr>
      </w:pPr>
    </w:p>
    <w:p w14:paraId="1CE3825B" w14:textId="77777777" w:rsidR="00BB70BF" w:rsidRPr="00F114B2" w:rsidRDefault="00BB70BF" w:rsidP="00BB70BF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textAlignment w:val="baseline"/>
        <w:outlineLvl w:val="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4B2">
        <w:rPr>
          <w:rFonts w:ascii="Times New Roman" w:eastAsia="Times New Roman" w:hAnsi="Times New Roman" w:cs="Times New Roman"/>
          <w:b/>
          <w:sz w:val="24"/>
          <w:szCs w:val="24"/>
        </w:rP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292"/>
        <w:gridCol w:w="2292"/>
        <w:gridCol w:w="937"/>
        <w:gridCol w:w="937"/>
        <w:gridCol w:w="937"/>
        <w:gridCol w:w="937"/>
        <w:gridCol w:w="937"/>
        <w:gridCol w:w="937"/>
      </w:tblGrid>
      <w:tr w:rsidR="00A34BF0" w:rsidRPr="00F114B2" w14:paraId="56B8D22C" w14:textId="77777777" w:rsidTr="00A34BF0">
        <w:trPr>
          <w:jc w:val="center"/>
        </w:trPr>
        <w:tc>
          <w:tcPr>
            <w:tcW w:w="2292" w:type="dxa"/>
            <w:shd w:val="clear" w:color="auto" w:fill="B5C0D8"/>
          </w:tcPr>
          <w:p w14:paraId="5F0C8BBD" w14:textId="77777777" w:rsidR="00A34BF0" w:rsidRPr="00F114B2" w:rsidRDefault="00A34BF0" w:rsidP="00A34BF0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Pokazatelj rezultata</w:t>
            </w:r>
          </w:p>
        </w:tc>
        <w:tc>
          <w:tcPr>
            <w:tcW w:w="2292" w:type="dxa"/>
            <w:shd w:val="clear" w:color="auto" w:fill="B5C0D8"/>
          </w:tcPr>
          <w:p w14:paraId="7F59B1B7" w14:textId="77777777" w:rsidR="00A34BF0" w:rsidRPr="00F114B2" w:rsidRDefault="00A34BF0" w:rsidP="00A34BF0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Definicija</w:t>
            </w:r>
          </w:p>
        </w:tc>
        <w:tc>
          <w:tcPr>
            <w:tcW w:w="937" w:type="dxa"/>
            <w:shd w:val="clear" w:color="auto" w:fill="B5C0D8"/>
          </w:tcPr>
          <w:p w14:paraId="2F03B470" w14:textId="77777777" w:rsidR="00A34BF0" w:rsidRPr="00F114B2" w:rsidRDefault="00A34BF0" w:rsidP="00A34BF0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Jedinica</w:t>
            </w:r>
          </w:p>
        </w:tc>
        <w:tc>
          <w:tcPr>
            <w:tcW w:w="937" w:type="dxa"/>
            <w:shd w:val="clear" w:color="auto" w:fill="B5C0D8"/>
          </w:tcPr>
          <w:p w14:paraId="3C2E0960" w14:textId="77777777" w:rsidR="00A34BF0" w:rsidRPr="00F114B2" w:rsidRDefault="00A34BF0" w:rsidP="00A34BF0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Polazna vrijednost</w:t>
            </w:r>
          </w:p>
        </w:tc>
        <w:tc>
          <w:tcPr>
            <w:tcW w:w="937" w:type="dxa"/>
            <w:shd w:val="clear" w:color="auto" w:fill="B5C0D8"/>
          </w:tcPr>
          <w:p w14:paraId="4D2A75CD" w14:textId="77777777" w:rsidR="00A34BF0" w:rsidRPr="00F114B2" w:rsidRDefault="00A34BF0" w:rsidP="00A34BF0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Izvor podataka</w:t>
            </w:r>
          </w:p>
        </w:tc>
        <w:tc>
          <w:tcPr>
            <w:tcW w:w="937" w:type="dxa"/>
            <w:shd w:val="clear" w:color="auto" w:fill="B5C0D8"/>
          </w:tcPr>
          <w:p w14:paraId="70F60FB6" w14:textId="2540FC7B" w:rsidR="00A34BF0" w:rsidRPr="00F114B2" w:rsidRDefault="00A34BF0" w:rsidP="00A34BF0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Ciljana vrijednost (2025.)</w:t>
            </w:r>
          </w:p>
        </w:tc>
        <w:tc>
          <w:tcPr>
            <w:tcW w:w="937" w:type="dxa"/>
            <w:shd w:val="clear" w:color="auto" w:fill="B5C0D8"/>
          </w:tcPr>
          <w:p w14:paraId="2AC5BBF2" w14:textId="57B8D06E" w:rsidR="00A34BF0" w:rsidRPr="00F114B2" w:rsidRDefault="00A34BF0" w:rsidP="00A34BF0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Ciljana vrijednost (2026.)</w:t>
            </w:r>
          </w:p>
        </w:tc>
        <w:tc>
          <w:tcPr>
            <w:tcW w:w="937" w:type="dxa"/>
            <w:shd w:val="clear" w:color="auto" w:fill="B5C0D8"/>
          </w:tcPr>
          <w:p w14:paraId="7EC7EC15" w14:textId="515358B0" w:rsidR="00A34BF0" w:rsidRPr="00F114B2" w:rsidRDefault="00A34BF0" w:rsidP="00A34BF0">
            <w:pPr>
              <w:rPr>
                <w:rFonts w:cs="Times New Roman"/>
              </w:rPr>
            </w:pPr>
            <w:r w:rsidRPr="00F114B2">
              <w:rPr>
                <w:rFonts w:cs="Times New Roman"/>
              </w:rPr>
              <w:t>Ciljana vrijednost (2027.)</w:t>
            </w:r>
          </w:p>
        </w:tc>
      </w:tr>
      <w:tr w:rsidR="009A1A1A" w:rsidRPr="002505FA" w14:paraId="01F81351" w14:textId="77777777" w:rsidTr="00A34BF0">
        <w:trPr>
          <w:jc w:val="center"/>
        </w:trPr>
        <w:tc>
          <w:tcPr>
            <w:tcW w:w="2292" w:type="dxa"/>
            <w:vAlign w:val="top"/>
          </w:tcPr>
          <w:p w14:paraId="0B63B53C" w14:textId="77777777" w:rsidR="00BB70BF" w:rsidRPr="00F114B2" w:rsidRDefault="00BB70BF" w:rsidP="0079377D">
            <w:pPr>
              <w:rPr>
                <w:rFonts w:cs="Times New Roman"/>
                <w:iCs/>
              </w:rPr>
            </w:pPr>
            <w:r w:rsidRPr="00F114B2">
              <w:rPr>
                <w:rFonts w:cs="Times New Roman"/>
                <w:iCs/>
              </w:rPr>
              <w:t>Postotak provedenih aktivnosti/projekata u odnosu na planirane temeljem godišnjih ugovora o suradnji s EUIPO-om (godišnje)</w:t>
            </w:r>
          </w:p>
        </w:tc>
        <w:tc>
          <w:tcPr>
            <w:tcW w:w="2292" w:type="dxa"/>
            <w:vAlign w:val="top"/>
          </w:tcPr>
          <w:p w14:paraId="0B2C6AB5" w14:textId="5483291E" w:rsidR="00BB70BF" w:rsidRPr="00F114B2" w:rsidRDefault="00AE2C1F" w:rsidP="0079377D">
            <w:pPr>
              <w:rPr>
                <w:rFonts w:cs="Times New Roman"/>
                <w:iCs/>
              </w:rPr>
            </w:pPr>
            <w:r w:rsidRPr="00F114B2">
              <w:rPr>
                <w:rFonts w:cs="Times New Roman"/>
                <w:iCs/>
                <w:szCs w:val="20"/>
              </w:rPr>
              <w:t>Postotak provedenih aktivnosti/projekata</w:t>
            </w:r>
            <w:r w:rsidR="00BB70BF" w:rsidRPr="00F114B2">
              <w:rPr>
                <w:rFonts w:cs="Times New Roman"/>
                <w:iCs/>
              </w:rPr>
              <w:t xml:space="preserve"> u odnosu na planirane temeljem godišnjih ugovora o suradnji s EUIPO-om</w:t>
            </w:r>
          </w:p>
        </w:tc>
        <w:tc>
          <w:tcPr>
            <w:tcW w:w="937" w:type="dxa"/>
          </w:tcPr>
          <w:p w14:paraId="4206662A" w14:textId="77777777" w:rsidR="00BB70BF" w:rsidRPr="00F114B2" w:rsidRDefault="00BB70BF" w:rsidP="0079377D">
            <w:pPr>
              <w:rPr>
                <w:rFonts w:cs="Times New Roman"/>
                <w:iCs/>
              </w:rPr>
            </w:pPr>
            <w:r w:rsidRPr="00F114B2">
              <w:rPr>
                <w:rFonts w:cs="Times New Roman"/>
                <w:iCs/>
              </w:rPr>
              <w:t>%</w:t>
            </w:r>
          </w:p>
        </w:tc>
        <w:tc>
          <w:tcPr>
            <w:tcW w:w="937" w:type="dxa"/>
          </w:tcPr>
          <w:p w14:paraId="0A8A2CE2" w14:textId="64E0C14C" w:rsidR="00BB70BF" w:rsidRPr="00F114B2" w:rsidRDefault="00BB70BF" w:rsidP="0079377D">
            <w:pPr>
              <w:rPr>
                <w:rFonts w:cs="Times New Roman"/>
                <w:iCs/>
              </w:rPr>
            </w:pPr>
            <w:r w:rsidRPr="00F114B2">
              <w:rPr>
                <w:rFonts w:cs="Times New Roman"/>
                <w:iCs/>
              </w:rPr>
              <w:t>100</w:t>
            </w:r>
          </w:p>
          <w:p w14:paraId="71E8827C" w14:textId="511121BB" w:rsidR="00BB70BF" w:rsidRPr="00F114B2" w:rsidRDefault="00BB70BF" w:rsidP="0079377D">
            <w:pPr>
              <w:rPr>
                <w:rFonts w:cs="Times New Roman"/>
                <w:iCs/>
              </w:rPr>
            </w:pPr>
            <w:r w:rsidRPr="00F114B2">
              <w:rPr>
                <w:rFonts w:cs="Times New Roman"/>
                <w:iCs/>
              </w:rPr>
              <w:t>(</w:t>
            </w:r>
            <w:r w:rsidR="00341063" w:rsidRPr="00F114B2">
              <w:rPr>
                <w:rFonts w:cs="Times New Roman"/>
                <w:iCs/>
              </w:rPr>
              <w:t>202</w:t>
            </w:r>
            <w:r w:rsidR="00F114B2" w:rsidRPr="00B61107">
              <w:rPr>
                <w:rFonts w:cs="Times New Roman"/>
                <w:iCs/>
              </w:rPr>
              <w:t>4</w:t>
            </w:r>
            <w:r w:rsidR="00341063" w:rsidRPr="00F114B2">
              <w:rPr>
                <w:rFonts w:cs="Times New Roman"/>
                <w:iCs/>
              </w:rPr>
              <w:t>.</w:t>
            </w:r>
            <w:r w:rsidR="00AE2C1F" w:rsidRPr="00F114B2">
              <w:rPr>
                <w:rFonts w:cs="Times New Roman"/>
                <w:iCs/>
              </w:rPr>
              <w:t>)</w:t>
            </w:r>
          </w:p>
        </w:tc>
        <w:tc>
          <w:tcPr>
            <w:tcW w:w="937" w:type="dxa"/>
          </w:tcPr>
          <w:p w14:paraId="7FE2CB93" w14:textId="77777777" w:rsidR="00BB70BF" w:rsidRPr="00F114B2" w:rsidRDefault="00BB70BF" w:rsidP="0079377D">
            <w:pPr>
              <w:rPr>
                <w:rFonts w:cs="Times New Roman"/>
                <w:iCs/>
              </w:rPr>
            </w:pPr>
            <w:r w:rsidRPr="00F114B2">
              <w:rPr>
                <w:rFonts w:cs="Times New Roman"/>
                <w:iCs/>
              </w:rPr>
              <w:t>DZIV</w:t>
            </w:r>
          </w:p>
        </w:tc>
        <w:tc>
          <w:tcPr>
            <w:tcW w:w="937" w:type="dxa"/>
          </w:tcPr>
          <w:p w14:paraId="3AA8C269" w14:textId="77777777" w:rsidR="00BB70BF" w:rsidRPr="00F114B2" w:rsidRDefault="00BB70BF" w:rsidP="0079377D">
            <w:pPr>
              <w:rPr>
                <w:rFonts w:cs="Times New Roman"/>
                <w:iCs/>
              </w:rPr>
            </w:pPr>
            <w:r w:rsidRPr="00F114B2">
              <w:rPr>
                <w:rFonts w:cs="Times New Roman"/>
                <w:iCs/>
              </w:rPr>
              <w:t>100</w:t>
            </w:r>
          </w:p>
        </w:tc>
        <w:tc>
          <w:tcPr>
            <w:tcW w:w="937" w:type="dxa"/>
          </w:tcPr>
          <w:p w14:paraId="7737014B" w14:textId="77777777" w:rsidR="00BB70BF" w:rsidRPr="00F114B2" w:rsidRDefault="00BB70BF" w:rsidP="0079377D">
            <w:pPr>
              <w:rPr>
                <w:rFonts w:cs="Times New Roman"/>
                <w:iCs/>
              </w:rPr>
            </w:pPr>
            <w:r w:rsidRPr="00F114B2">
              <w:rPr>
                <w:rFonts w:cs="Times New Roman"/>
                <w:iCs/>
              </w:rPr>
              <w:t>100</w:t>
            </w:r>
          </w:p>
        </w:tc>
        <w:tc>
          <w:tcPr>
            <w:tcW w:w="937" w:type="dxa"/>
          </w:tcPr>
          <w:p w14:paraId="1439A192" w14:textId="77777777" w:rsidR="00BB70BF" w:rsidRPr="00A34BF0" w:rsidRDefault="00BB70BF" w:rsidP="0079377D">
            <w:pPr>
              <w:rPr>
                <w:rFonts w:cs="Times New Roman"/>
                <w:iCs/>
              </w:rPr>
            </w:pPr>
            <w:r w:rsidRPr="00F114B2">
              <w:rPr>
                <w:rFonts w:cs="Times New Roman"/>
                <w:iCs/>
              </w:rPr>
              <w:t>100</w:t>
            </w:r>
          </w:p>
        </w:tc>
      </w:tr>
    </w:tbl>
    <w:p w14:paraId="2509C386" w14:textId="77777777" w:rsidR="00215A47" w:rsidRPr="002505FA" w:rsidRDefault="00215A47" w:rsidP="0079377D">
      <w:pPr>
        <w:jc w:val="both"/>
        <w:rPr>
          <w:rFonts w:ascii="Times New Roman" w:hAnsi="Times New Roman" w:cs="Times New Roman"/>
        </w:rPr>
      </w:pPr>
    </w:p>
    <w:sectPr w:rsidR="00215A47" w:rsidRPr="002505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9A07F" w14:textId="77777777" w:rsidR="00E12E52" w:rsidRDefault="00E12E52" w:rsidP="009A1A1A">
      <w:pPr>
        <w:spacing w:after="0" w:line="240" w:lineRule="auto"/>
      </w:pPr>
      <w:r>
        <w:separator/>
      </w:r>
    </w:p>
  </w:endnote>
  <w:endnote w:type="continuationSeparator" w:id="0">
    <w:p w14:paraId="1D96EA03" w14:textId="77777777" w:rsidR="00E12E52" w:rsidRDefault="00E12E52" w:rsidP="009A1A1A">
      <w:pPr>
        <w:spacing w:after="0" w:line="240" w:lineRule="auto"/>
      </w:pPr>
      <w:r>
        <w:continuationSeparator/>
      </w:r>
    </w:p>
  </w:endnote>
  <w:endnote w:type="continuationNotice" w:id="1">
    <w:p w14:paraId="22118EB7" w14:textId="77777777" w:rsidR="00E12E52" w:rsidRDefault="00E12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5C5B4DCA" w14:textId="056A789C" w:rsidR="00E018D6" w:rsidRDefault="00E018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AB2">
          <w:rPr>
            <w:noProof/>
          </w:rPr>
          <w:t>2</w:t>
        </w:r>
        <w:r>
          <w:fldChar w:fldCharType="end"/>
        </w:r>
      </w:p>
    </w:sdtContent>
  </w:sdt>
  <w:p w14:paraId="477CCB95" w14:textId="7F00CA3C" w:rsidR="009A1A1A" w:rsidRDefault="009A1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F0B5" w14:textId="77777777" w:rsidR="00E12E52" w:rsidRDefault="00E12E52" w:rsidP="009A1A1A">
      <w:pPr>
        <w:spacing w:after="0" w:line="240" w:lineRule="auto"/>
      </w:pPr>
      <w:r>
        <w:separator/>
      </w:r>
    </w:p>
  </w:footnote>
  <w:footnote w:type="continuationSeparator" w:id="0">
    <w:p w14:paraId="0093B4C9" w14:textId="77777777" w:rsidR="00E12E52" w:rsidRDefault="00E12E52" w:rsidP="009A1A1A">
      <w:pPr>
        <w:spacing w:after="0" w:line="240" w:lineRule="auto"/>
      </w:pPr>
      <w:r>
        <w:continuationSeparator/>
      </w:r>
    </w:p>
  </w:footnote>
  <w:footnote w:type="continuationNotice" w:id="1">
    <w:p w14:paraId="20B957AF" w14:textId="77777777" w:rsidR="00E12E52" w:rsidRDefault="00E12E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30B"/>
    <w:multiLevelType w:val="hybridMultilevel"/>
    <w:tmpl w:val="D936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F5440"/>
    <w:multiLevelType w:val="hybridMultilevel"/>
    <w:tmpl w:val="E9702F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672E"/>
    <w:multiLevelType w:val="hybridMultilevel"/>
    <w:tmpl w:val="35205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0B48"/>
    <w:multiLevelType w:val="hybridMultilevel"/>
    <w:tmpl w:val="E3B89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D7AAA"/>
    <w:multiLevelType w:val="hybridMultilevel"/>
    <w:tmpl w:val="5322944C"/>
    <w:lvl w:ilvl="0" w:tplc="5AFAC1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B7C5A"/>
    <w:multiLevelType w:val="hybridMultilevel"/>
    <w:tmpl w:val="C26C284E"/>
    <w:lvl w:ilvl="0" w:tplc="23C226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6862"/>
    <w:multiLevelType w:val="hybridMultilevel"/>
    <w:tmpl w:val="95BA7C40"/>
    <w:lvl w:ilvl="0" w:tplc="5AFAC1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F13AF"/>
    <w:multiLevelType w:val="hybridMultilevel"/>
    <w:tmpl w:val="A07E8EB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93943"/>
    <w:multiLevelType w:val="hybridMultilevel"/>
    <w:tmpl w:val="06A2F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1"/>
  </w:num>
  <w:num w:numId="6">
    <w:abstractNumId w:val="2"/>
  </w:num>
  <w:num w:numId="7">
    <w:abstractNumId w:val="6"/>
  </w:num>
  <w:num w:numId="8">
    <w:abstractNumId w:val="14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BF"/>
    <w:rsid w:val="000053C5"/>
    <w:rsid w:val="000060DD"/>
    <w:rsid w:val="00006F09"/>
    <w:rsid w:val="000074A4"/>
    <w:rsid w:val="00013AFC"/>
    <w:rsid w:val="00021B5C"/>
    <w:rsid w:val="00030327"/>
    <w:rsid w:val="0003395B"/>
    <w:rsid w:val="0005318A"/>
    <w:rsid w:val="00062691"/>
    <w:rsid w:val="000746BD"/>
    <w:rsid w:val="00087D53"/>
    <w:rsid w:val="00095E09"/>
    <w:rsid w:val="000A0A0B"/>
    <w:rsid w:val="000C3375"/>
    <w:rsid w:val="000D08A5"/>
    <w:rsid w:val="000D1149"/>
    <w:rsid w:val="000D6FAB"/>
    <w:rsid w:val="000F512B"/>
    <w:rsid w:val="00105F84"/>
    <w:rsid w:val="0011483D"/>
    <w:rsid w:val="00114C2B"/>
    <w:rsid w:val="0011706F"/>
    <w:rsid w:val="00123CFD"/>
    <w:rsid w:val="00126901"/>
    <w:rsid w:val="00127651"/>
    <w:rsid w:val="00140E9A"/>
    <w:rsid w:val="001548F6"/>
    <w:rsid w:val="00166FA8"/>
    <w:rsid w:val="00173FBE"/>
    <w:rsid w:val="00175515"/>
    <w:rsid w:val="00176A88"/>
    <w:rsid w:val="00191B6D"/>
    <w:rsid w:val="001A6B7F"/>
    <w:rsid w:val="001A76E5"/>
    <w:rsid w:val="001B0F38"/>
    <w:rsid w:val="001B0F7A"/>
    <w:rsid w:val="001B3688"/>
    <w:rsid w:val="001C1EB2"/>
    <w:rsid w:val="001C2F8D"/>
    <w:rsid w:val="001E6A9C"/>
    <w:rsid w:val="001F63EF"/>
    <w:rsid w:val="002006B6"/>
    <w:rsid w:val="00215A47"/>
    <w:rsid w:val="00217FC6"/>
    <w:rsid w:val="00220BF7"/>
    <w:rsid w:val="00225FE5"/>
    <w:rsid w:val="002267EE"/>
    <w:rsid w:val="00227D81"/>
    <w:rsid w:val="002313B2"/>
    <w:rsid w:val="0024156B"/>
    <w:rsid w:val="0024303A"/>
    <w:rsid w:val="002505FA"/>
    <w:rsid w:val="00251508"/>
    <w:rsid w:val="0025361E"/>
    <w:rsid w:val="00257C5F"/>
    <w:rsid w:val="00260B85"/>
    <w:rsid w:val="00260F00"/>
    <w:rsid w:val="002611CA"/>
    <w:rsid w:val="002612CC"/>
    <w:rsid w:val="00261B1C"/>
    <w:rsid w:val="00273025"/>
    <w:rsid w:val="0027358D"/>
    <w:rsid w:val="0028554C"/>
    <w:rsid w:val="002A0E78"/>
    <w:rsid w:val="002A58B4"/>
    <w:rsid w:val="002B0199"/>
    <w:rsid w:val="002C4D35"/>
    <w:rsid w:val="002C624D"/>
    <w:rsid w:val="002C699D"/>
    <w:rsid w:val="002C7121"/>
    <w:rsid w:val="002D444E"/>
    <w:rsid w:val="002D4D98"/>
    <w:rsid w:val="002E6017"/>
    <w:rsid w:val="002F35E8"/>
    <w:rsid w:val="00302D5C"/>
    <w:rsid w:val="00303FFB"/>
    <w:rsid w:val="003156CF"/>
    <w:rsid w:val="003239CD"/>
    <w:rsid w:val="00324025"/>
    <w:rsid w:val="0033209F"/>
    <w:rsid w:val="00341063"/>
    <w:rsid w:val="00364E9B"/>
    <w:rsid w:val="00375127"/>
    <w:rsid w:val="0039612E"/>
    <w:rsid w:val="003964BF"/>
    <w:rsid w:val="003B0C88"/>
    <w:rsid w:val="003B2CF0"/>
    <w:rsid w:val="003C0148"/>
    <w:rsid w:val="003C7401"/>
    <w:rsid w:val="003D1B06"/>
    <w:rsid w:val="003D5046"/>
    <w:rsid w:val="003D5091"/>
    <w:rsid w:val="003E6151"/>
    <w:rsid w:val="003F184E"/>
    <w:rsid w:val="003F571A"/>
    <w:rsid w:val="00412F2D"/>
    <w:rsid w:val="00415D11"/>
    <w:rsid w:val="00420FCD"/>
    <w:rsid w:val="00421175"/>
    <w:rsid w:val="00423907"/>
    <w:rsid w:val="00426BA4"/>
    <w:rsid w:val="004331A6"/>
    <w:rsid w:val="00440AB2"/>
    <w:rsid w:val="0046109A"/>
    <w:rsid w:val="004644D8"/>
    <w:rsid w:val="00474EAA"/>
    <w:rsid w:val="0049139E"/>
    <w:rsid w:val="004A05F6"/>
    <w:rsid w:val="004A3D7D"/>
    <w:rsid w:val="004A3F20"/>
    <w:rsid w:val="004A4A7E"/>
    <w:rsid w:val="004A4CCE"/>
    <w:rsid w:val="004A74E6"/>
    <w:rsid w:val="004A7AFD"/>
    <w:rsid w:val="004C1D9F"/>
    <w:rsid w:val="004C3A59"/>
    <w:rsid w:val="004C521F"/>
    <w:rsid w:val="004D49AC"/>
    <w:rsid w:val="004E02C5"/>
    <w:rsid w:val="004E16C8"/>
    <w:rsid w:val="004E2B07"/>
    <w:rsid w:val="004E6D43"/>
    <w:rsid w:val="005004C0"/>
    <w:rsid w:val="0050185B"/>
    <w:rsid w:val="005046F1"/>
    <w:rsid w:val="00512C8E"/>
    <w:rsid w:val="00513A57"/>
    <w:rsid w:val="00513E91"/>
    <w:rsid w:val="00534274"/>
    <w:rsid w:val="00553C25"/>
    <w:rsid w:val="005540EB"/>
    <w:rsid w:val="00556B92"/>
    <w:rsid w:val="005574F3"/>
    <w:rsid w:val="00562A9D"/>
    <w:rsid w:val="00562EC6"/>
    <w:rsid w:val="00571253"/>
    <w:rsid w:val="005813CC"/>
    <w:rsid w:val="00585281"/>
    <w:rsid w:val="005870EE"/>
    <w:rsid w:val="005C1265"/>
    <w:rsid w:val="005C65B0"/>
    <w:rsid w:val="005D15F7"/>
    <w:rsid w:val="005E773F"/>
    <w:rsid w:val="005F1414"/>
    <w:rsid w:val="006008DD"/>
    <w:rsid w:val="00602F59"/>
    <w:rsid w:val="0061475E"/>
    <w:rsid w:val="00621903"/>
    <w:rsid w:val="00621EAA"/>
    <w:rsid w:val="00621F06"/>
    <w:rsid w:val="00623CB3"/>
    <w:rsid w:val="00627A54"/>
    <w:rsid w:val="00631017"/>
    <w:rsid w:val="00631530"/>
    <w:rsid w:val="006342E3"/>
    <w:rsid w:val="00635777"/>
    <w:rsid w:val="0066342F"/>
    <w:rsid w:val="00687B0B"/>
    <w:rsid w:val="006B0FBF"/>
    <w:rsid w:val="006C74DD"/>
    <w:rsid w:val="006D1752"/>
    <w:rsid w:val="006D43A6"/>
    <w:rsid w:val="006D672E"/>
    <w:rsid w:val="006E16F5"/>
    <w:rsid w:val="006E268D"/>
    <w:rsid w:val="006E2D23"/>
    <w:rsid w:val="00700CAD"/>
    <w:rsid w:val="00703212"/>
    <w:rsid w:val="007072AC"/>
    <w:rsid w:val="00716289"/>
    <w:rsid w:val="0072122D"/>
    <w:rsid w:val="007256CD"/>
    <w:rsid w:val="00730534"/>
    <w:rsid w:val="007343C7"/>
    <w:rsid w:val="00742DF9"/>
    <w:rsid w:val="00743F59"/>
    <w:rsid w:val="007468B4"/>
    <w:rsid w:val="00750974"/>
    <w:rsid w:val="0075209D"/>
    <w:rsid w:val="007604B3"/>
    <w:rsid w:val="00764D9C"/>
    <w:rsid w:val="00764E12"/>
    <w:rsid w:val="00770FBD"/>
    <w:rsid w:val="00772682"/>
    <w:rsid w:val="00775131"/>
    <w:rsid w:val="0077791E"/>
    <w:rsid w:val="00786898"/>
    <w:rsid w:val="0079377D"/>
    <w:rsid w:val="007A5112"/>
    <w:rsid w:val="007A558E"/>
    <w:rsid w:val="007A5D48"/>
    <w:rsid w:val="007B38B2"/>
    <w:rsid w:val="007B67B6"/>
    <w:rsid w:val="007C06A8"/>
    <w:rsid w:val="007C1DA3"/>
    <w:rsid w:val="007C20A2"/>
    <w:rsid w:val="007C40E1"/>
    <w:rsid w:val="007C54E2"/>
    <w:rsid w:val="007C5C25"/>
    <w:rsid w:val="007C77A8"/>
    <w:rsid w:val="007D3613"/>
    <w:rsid w:val="007E4425"/>
    <w:rsid w:val="007F2E08"/>
    <w:rsid w:val="007F4E5E"/>
    <w:rsid w:val="007F610C"/>
    <w:rsid w:val="008043DB"/>
    <w:rsid w:val="00804BFE"/>
    <w:rsid w:val="00805D13"/>
    <w:rsid w:val="00811443"/>
    <w:rsid w:val="008223B8"/>
    <w:rsid w:val="008245F8"/>
    <w:rsid w:val="00827E98"/>
    <w:rsid w:val="008430B9"/>
    <w:rsid w:val="00846E65"/>
    <w:rsid w:val="00857332"/>
    <w:rsid w:val="00863AE6"/>
    <w:rsid w:val="00864679"/>
    <w:rsid w:val="008716CD"/>
    <w:rsid w:val="008750BD"/>
    <w:rsid w:val="00877E94"/>
    <w:rsid w:val="0088128F"/>
    <w:rsid w:val="008867DF"/>
    <w:rsid w:val="0089168D"/>
    <w:rsid w:val="0089622D"/>
    <w:rsid w:val="008A0749"/>
    <w:rsid w:val="008A29FE"/>
    <w:rsid w:val="008A423D"/>
    <w:rsid w:val="008A59DD"/>
    <w:rsid w:val="008D0BCB"/>
    <w:rsid w:val="008D2901"/>
    <w:rsid w:val="008E01A0"/>
    <w:rsid w:val="008F35BF"/>
    <w:rsid w:val="009043C4"/>
    <w:rsid w:val="00910DFA"/>
    <w:rsid w:val="009119C3"/>
    <w:rsid w:val="00913E0D"/>
    <w:rsid w:val="0091655A"/>
    <w:rsid w:val="00916F04"/>
    <w:rsid w:val="00921BDE"/>
    <w:rsid w:val="00924EAD"/>
    <w:rsid w:val="00932C60"/>
    <w:rsid w:val="00942E5F"/>
    <w:rsid w:val="009474FB"/>
    <w:rsid w:val="00962348"/>
    <w:rsid w:val="00971568"/>
    <w:rsid w:val="00987229"/>
    <w:rsid w:val="009919D6"/>
    <w:rsid w:val="00992606"/>
    <w:rsid w:val="009A1A1A"/>
    <w:rsid w:val="009A65A8"/>
    <w:rsid w:val="009B3931"/>
    <w:rsid w:val="009C12FF"/>
    <w:rsid w:val="009C7E23"/>
    <w:rsid w:val="009D4C68"/>
    <w:rsid w:val="009D5C95"/>
    <w:rsid w:val="009D71EA"/>
    <w:rsid w:val="009D7A1C"/>
    <w:rsid w:val="009E2203"/>
    <w:rsid w:val="009E371E"/>
    <w:rsid w:val="009E663E"/>
    <w:rsid w:val="009F1309"/>
    <w:rsid w:val="00A054CE"/>
    <w:rsid w:val="00A17868"/>
    <w:rsid w:val="00A34BF0"/>
    <w:rsid w:val="00A367F7"/>
    <w:rsid w:val="00A36CFD"/>
    <w:rsid w:val="00A45644"/>
    <w:rsid w:val="00A47137"/>
    <w:rsid w:val="00A61783"/>
    <w:rsid w:val="00A61830"/>
    <w:rsid w:val="00A70138"/>
    <w:rsid w:val="00A73EBD"/>
    <w:rsid w:val="00A829C7"/>
    <w:rsid w:val="00A836C6"/>
    <w:rsid w:val="00A877C1"/>
    <w:rsid w:val="00A93563"/>
    <w:rsid w:val="00AA4329"/>
    <w:rsid w:val="00AA570B"/>
    <w:rsid w:val="00AA6FFB"/>
    <w:rsid w:val="00AA72CD"/>
    <w:rsid w:val="00AA7D91"/>
    <w:rsid w:val="00AC2639"/>
    <w:rsid w:val="00AC3167"/>
    <w:rsid w:val="00AC3A4E"/>
    <w:rsid w:val="00AD0E29"/>
    <w:rsid w:val="00AD402D"/>
    <w:rsid w:val="00AD498C"/>
    <w:rsid w:val="00AE2C1F"/>
    <w:rsid w:val="00AE3C5D"/>
    <w:rsid w:val="00AF1CF6"/>
    <w:rsid w:val="00AF3DAD"/>
    <w:rsid w:val="00AF7180"/>
    <w:rsid w:val="00AF7BE3"/>
    <w:rsid w:val="00B003E4"/>
    <w:rsid w:val="00B01207"/>
    <w:rsid w:val="00B12DEF"/>
    <w:rsid w:val="00B14AB4"/>
    <w:rsid w:val="00B20C3F"/>
    <w:rsid w:val="00B233DE"/>
    <w:rsid w:val="00B2430C"/>
    <w:rsid w:val="00B35EC8"/>
    <w:rsid w:val="00B36FFF"/>
    <w:rsid w:val="00B477DD"/>
    <w:rsid w:val="00B54126"/>
    <w:rsid w:val="00B606C1"/>
    <w:rsid w:val="00B61107"/>
    <w:rsid w:val="00B61559"/>
    <w:rsid w:val="00B65B13"/>
    <w:rsid w:val="00B7195A"/>
    <w:rsid w:val="00B7598C"/>
    <w:rsid w:val="00B908B4"/>
    <w:rsid w:val="00B94A75"/>
    <w:rsid w:val="00BB47B9"/>
    <w:rsid w:val="00BB70BF"/>
    <w:rsid w:val="00BB7C8F"/>
    <w:rsid w:val="00BD277F"/>
    <w:rsid w:val="00BD7FDD"/>
    <w:rsid w:val="00BE1753"/>
    <w:rsid w:val="00BE741E"/>
    <w:rsid w:val="00BF168D"/>
    <w:rsid w:val="00BF3A22"/>
    <w:rsid w:val="00C00C53"/>
    <w:rsid w:val="00C07BF0"/>
    <w:rsid w:val="00C17FC9"/>
    <w:rsid w:val="00C30A98"/>
    <w:rsid w:val="00C31659"/>
    <w:rsid w:val="00C319E9"/>
    <w:rsid w:val="00C34DFE"/>
    <w:rsid w:val="00C41A8B"/>
    <w:rsid w:val="00C41AC8"/>
    <w:rsid w:val="00C42191"/>
    <w:rsid w:val="00C4317C"/>
    <w:rsid w:val="00C473DB"/>
    <w:rsid w:val="00C57FE9"/>
    <w:rsid w:val="00C60400"/>
    <w:rsid w:val="00C61940"/>
    <w:rsid w:val="00C84559"/>
    <w:rsid w:val="00C90949"/>
    <w:rsid w:val="00C958EE"/>
    <w:rsid w:val="00CA055E"/>
    <w:rsid w:val="00CA09DC"/>
    <w:rsid w:val="00CA79D3"/>
    <w:rsid w:val="00CB393E"/>
    <w:rsid w:val="00CB4189"/>
    <w:rsid w:val="00CB764D"/>
    <w:rsid w:val="00CC071C"/>
    <w:rsid w:val="00CC0E77"/>
    <w:rsid w:val="00CD191D"/>
    <w:rsid w:val="00CD4322"/>
    <w:rsid w:val="00CE13FF"/>
    <w:rsid w:val="00CF458B"/>
    <w:rsid w:val="00D0647F"/>
    <w:rsid w:val="00D072DD"/>
    <w:rsid w:val="00D104F9"/>
    <w:rsid w:val="00D12C92"/>
    <w:rsid w:val="00D21177"/>
    <w:rsid w:val="00D2314F"/>
    <w:rsid w:val="00D242D6"/>
    <w:rsid w:val="00D27D23"/>
    <w:rsid w:val="00D55546"/>
    <w:rsid w:val="00D5678D"/>
    <w:rsid w:val="00D70548"/>
    <w:rsid w:val="00D750FB"/>
    <w:rsid w:val="00D75878"/>
    <w:rsid w:val="00D76ADE"/>
    <w:rsid w:val="00D9315B"/>
    <w:rsid w:val="00D97106"/>
    <w:rsid w:val="00DA1C31"/>
    <w:rsid w:val="00DA7AFE"/>
    <w:rsid w:val="00DB1456"/>
    <w:rsid w:val="00DB176A"/>
    <w:rsid w:val="00DB2F1C"/>
    <w:rsid w:val="00DB5C08"/>
    <w:rsid w:val="00DC2FED"/>
    <w:rsid w:val="00DC36BF"/>
    <w:rsid w:val="00DC6492"/>
    <w:rsid w:val="00DF3E0E"/>
    <w:rsid w:val="00DF6413"/>
    <w:rsid w:val="00DF7221"/>
    <w:rsid w:val="00E018D6"/>
    <w:rsid w:val="00E10F32"/>
    <w:rsid w:val="00E12E52"/>
    <w:rsid w:val="00E16FD6"/>
    <w:rsid w:val="00E34DAE"/>
    <w:rsid w:val="00E4478B"/>
    <w:rsid w:val="00E45A20"/>
    <w:rsid w:val="00E541C6"/>
    <w:rsid w:val="00E553B1"/>
    <w:rsid w:val="00E575F1"/>
    <w:rsid w:val="00E630C3"/>
    <w:rsid w:val="00E81ECE"/>
    <w:rsid w:val="00E91255"/>
    <w:rsid w:val="00E9500C"/>
    <w:rsid w:val="00EA20A0"/>
    <w:rsid w:val="00EA4030"/>
    <w:rsid w:val="00EA40FC"/>
    <w:rsid w:val="00EB6311"/>
    <w:rsid w:val="00EC276F"/>
    <w:rsid w:val="00ED2B9A"/>
    <w:rsid w:val="00ED6007"/>
    <w:rsid w:val="00ED625F"/>
    <w:rsid w:val="00EE33DC"/>
    <w:rsid w:val="00EE4AD0"/>
    <w:rsid w:val="00EF05CF"/>
    <w:rsid w:val="00EF0A99"/>
    <w:rsid w:val="00F114B2"/>
    <w:rsid w:val="00F12286"/>
    <w:rsid w:val="00F17D37"/>
    <w:rsid w:val="00F365F9"/>
    <w:rsid w:val="00F46542"/>
    <w:rsid w:val="00F51C89"/>
    <w:rsid w:val="00F55444"/>
    <w:rsid w:val="00F815A6"/>
    <w:rsid w:val="00F90785"/>
    <w:rsid w:val="00F96C13"/>
    <w:rsid w:val="00FA0E99"/>
    <w:rsid w:val="00FB79FE"/>
    <w:rsid w:val="00FC2E3D"/>
    <w:rsid w:val="00FC731C"/>
    <w:rsid w:val="00FD00BC"/>
    <w:rsid w:val="00FD4E6D"/>
    <w:rsid w:val="00FE2F77"/>
    <w:rsid w:val="00FF2625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7516"/>
  <w15:chartTrackingRefBased/>
  <w15:docId w15:val="{69FC222E-3C6F-42F3-90F4-D167A9C3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A1A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spacing w:after="120" w:line="288" w:lineRule="auto"/>
      <w:outlineLvl w:val="2"/>
    </w:pPr>
    <w:rPr>
      <w:rFonts w:ascii="Times New Roman" w:eastAsia="Times New Roman" w:hAnsi="Times New Roman" w:cs="Arial"/>
      <w:b/>
      <w:iCs/>
      <w:spacing w:val="20"/>
      <w:sz w:val="28"/>
      <w:szCs w:val="28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A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A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ilTablice">
    <w:name w:val="StilTablice"/>
    <w:basedOn w:val="TableNormal"/>
    <w:uiPriority w:val="99"/>
    <w:rsid w:val="00BB70BF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customStyle="1" w:styleId="Heading3Char">
    <w:name w:val="Heading 3 Char"/>
    <w:basedOn w:val="DefaultParagraphFont"/>
    <w:link w:val="Heading3"/>
    <w:rsid w:val="009A1A1A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A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A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nhideWhenUsed/>
    <w:rsid w:val="009A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A1A1A"/>
  </w:style>
  <w:style w:type="table" w:styleId="TableGrid">
    <w:name w:val="Table Grid"/>
    <w:basedOn w:val="TableNormal"/>
    <w:uiPriority w:val="39"/>
    <w:rsid w:val="009A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A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A1A"/>
    <w:rPr>
      <w:rFonts w:ascii="Tahoma" w:hAnsi="Tahoma" w:cs="Tahoma"/>
      <w:sz w:val="16"/>
      <w:szCs w:val="16"/>
    </w:rPr>
  </w:style>
  <w:style w:type="paragraph" w:customStyle="1" w:styleId="CellHeader">
    <w:name w:val="CellHeader"/>
    <w:basedOn w:val="Normal"/>
    <w:qFormat/>
    <w:rsid w:val="009A1A1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paragraph" w:customStyle="1" w:styleId="CellColumn">
    <w:name w:val="CellColumn"/>
    <w:basedOn w:val="CellHeader"/>
    <w:qFormat/>
    <w:rsid w:val="009A1A1A"/>
  </w:style>
  <w:style w:type="character" w:styleId="CommentReference">
    <w:name w:val="annotation reference"/>
    <w:basedOn w:val="DefaultParagraphFont"/>
    <w:uiPriority w:val="99"/>
    <w:semiHidden/>
    <w:unhideWhenUsed/>
    <w:rsid w:val="009A1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A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A1A"/>
  </w:style>
  <w:style w:type="table" w:customStyle="1" w:styleId="StilTablice1">
    <w:name w:val="StilTablice1"/>
    <w:basedOn w:val="TableNormal"/>
    <w:uiPriority w:val="99"/>
    <w:rsid w:val="009A1A1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Revision">
    <w:name w:val="Revision"/>
    <w:hidden/>
    <w:uiPriority w:val="99"/>
    <w:semiHidden/>
    <w:rsid w:val="009A1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39ED-9BF2-4C86-9F20-AD2B5703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Tušek</dc:creator>
  <cp:keywords/>
  <dc:description/>
  <cp:lastModifiedBy>Tatjana Kostel Radošević</cp:lastModifiedBy>
  <cp:revision>3</cp:revision>
  <cp:lastPrinted>2024-09-30T08:40:00Z</cp:lastPrinted>
  <dcterms:created xsi:type="dcterms:W3CDTF">2025-10-20T16:33:00Z</dcterms:created>
  <dcterms:modified xsi:type="dcterms:W3CDTF">2025-10-20T16:38:00Z</dcterms:modified>
</cp:coreProperties>
</file>